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CellMar>
          <w:left w:w="0" w:type="dxa"/>
          <w:right w:w="0" w:type="dxa"/>
        </w:tblCellMar>
        <w:tblLook w:val="01E0" w:firstRow="1" w:lastRow="1" w:firstColumn="1" w:lastColumn="1" w:noHBand="0" w:noVBand="0"/>
      </w:tblPr>
      <w:tblGrid>
        <w:gridCol w:w="6804"/>
        <w:gridCol w:w="2268"/>
      </w:tblGrid>
      <w:tr w:rsidR="002544DF" w:rsidRPr="003456ED" w14:paraId="62C632D5" w14:textId="77777777" w:rsidTr="00BB70F1">
        <w:trPr>
          <w:trHeight w:hRule="exact" w:val="1418"/>
        </w:trPr>
        <w:tc>
          <w:tcPr>
            <w:tcW w:w="6804" w:type="dxa"/>
            <w:shd w:val="clear" w:color="auto" w:fill="auto"/>
            <w:vAlign w:val="center"/>
          </w:tcPr>
          <w:p w14:paraId="00DDBAF7" w14:textId="77777777" w:rsidR="002544DF" w:rsidRPr="003456ED" w:rsidRDefault="008E68B1" w:rsidP="00BB70F1">
            <w:pPr>
              <w:pStyle w:val="EPName"/>
              <w:rPr>
                <w:lang w:val="en-GB"/>
              </w:rPr>
            </w:pPr>
            <w:r w:rsidRPr="003456ED">
              <w:rPr>
                <w:lang w:val="en-GB"/>
              </w:rPr>
              <w:t>European Parliament</w:t>
            </w:r>
          </w:p>
          <w:p w14:paraId="555A3AE5" w14:textId="77777777" w:rsidR="002544DF" w:rsidRPr="003456ED" w:rsidRDefault="00A24B81" w:rsidP="00A24B81">
            <w:pPr>
              <w:pStyle w:val="EPTerm"/>
              <w:rPr>
                <w:rStyle w:val="HideTWBExt"/>
                <w:noProof w:val="0"/>
                <w:vanish w:val="0"/>
                <w:color w:val="auto"/>
                <w:lang w:val="en-GB"/>
              </w:rPr>
            </w:pPr>
            <w:r w:rsidRPr="003456ED">
              <w:rPr>
                <w:lang w:val="en-GB"/>
              </w:rPr>
              <w:t>2014-2019</w:t>
            </w:r>
          </w:p>
        </w:tc>
        <w:tc>
          <w:tcPr>
            <w:tcW w:w="2268" w:type="dxa"/>
            <w:shd w:val="clear" w:color="auto" w:fill="auto"/>
          </w:tcPr>
          <w:p w14:paraId="019240A2" w14:textId="77777777" w:rsidR="002544DF" w:rsidRPr="003456ED" w:rsidRDefault="000119C4" w:rsidP="00BB70F1">
            <w:pPr>
              <w:pStyle w:val="EPLogo"/>
            </w:pPr>
            <w:r w:rsidRPr="003456ED">
              <w:rPr>
                <w:noProof/>
                <w:lang w:val="nl-NL" w:eastAsia="nl-NL"/>
              </w:rPr>
              <w:drawing>
                <wp:inline distT="0" distB="0" distL="0" distR="0" wp14:anchorId="7B7EC66C" wp14:editId="498F1558">
                  <wp:extent cx="1162050" cy="647700"/>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647700"/>
                          </a:xfrm>
                          <a:prstGeom prst="rect">
                            <a:avLst/>
                          </a:prstGeom>
                          <a:noFill/>
                          <a:ln>
                            <a:noFill/>
                          </a:ln>
                        </pic:spPr>
                      </pic:pic>
                    </a:graphicData>
                  </a:graphic>
                </wp:inline>
              </w:drawing>
            </w:r>
          </w:p>
        </w:tc>
      </w:tr>
    </w:tbl>
    <w:p w14:paraId="6899071E" w14:textId="77777777" w:rsidR="00E3537C" w:rsidRPr="003456ED" w:rsidRDefault="00E3537C" w:rsidP="00E3537C">
      <w:pPr>
        <w:pStyle w:val="LineTop"/>
        <w:rPr>
          <w:lang w:val="en-GB"/>
        </w:rPr>
      </w:pPr>
    </w:p>
    <w:p w14:paraId="51B30B39" w14:textId="77777777" w:rsidR="00E3537C" w:rsidRPr="003456ED" w:rsidRDefault="00366AFE" w:rsidP="00E3537C">
      <w:pPr>
        <w:pStyle w:val="ZCommittee"/>
        <w:rPr>
          <w:lang w:val="en-GB"/>
        </w:rPr>
      </w:pPr>
      <w:r w:rsidRPr="003456ED">
        <w:rPr>
          <w:lang w:val="en-GB"/>
        </w:rPr>
        <w:t>Plenary sitting</w:t>
      </w:r>
    </w:p>
    <w:p w14:paraId="5CC2772D" w14:textId="77777777" w:rsidR="00E3537C" w:rsidRPr="003456ED" w:rsidRDefault="00E3537C" w:rsidP="00E3537C">
      <w:pPr>
        <w:pStyle w:val="LineBottom"/>
      </w:pPr>
    </w:p>
    <w:p w14:paraId="2B62E1A6" w14:textId="77777777" w:rsidR="00100069" w:rsidRPr="003456ED" w:rsidRDefault="00366AFE">
      <w:pPr>
        <w:pStyle w:val="RefProc"/>
      </w:pPr>
      <w:r w:rsidRPr="003456ED">
        <w:rPr>
          <w:rStyle w:val="HideTWBExt"/>
          <w:noProof w:val="0"/>
        </w:rPr>
        <w:t>&lt;NoDocSe&gt;</w:t>
      </w:r>
      <w:r w:rsidR="00E15344">
        <w:t>A8-0199/2017</w:t>
      </w:r>
      <w:r w:rsidRPr="003456ED">
        <w:rPr>
          <w:rStyle w:val="HideTWBExt"/>
          <w:noProof w:val="0"/>
        </w:rPr>
        <w:t>&lt;/NoDocSe&gt;</w:t>
      </w:r>
    </w:p>
    <w:p w14:paraId="0B777127" w14:textId="77777777" w:rsidR="00100069" w:rsidRPr="00DB522B" w:rsidRDefault="00100069">
      <w:pPr>
        <w:pStyle w:val="ZDate"/>
      </w:pPr>
      <w:r w:rsidRPr="00DB522B">
        <w:rPr>
          <w:rStyle w:val="HideTWBExt"/>
          <w:noProof w:val="0"/>
        </w:rPr>
        <w:t>&lt;Date&gt;</w:t>
      </w:r>
      <w:r w:rsidR="00DE6A55" w:rsidRPr="00DB522B">
        <w:rPr>
          <w:rStyle w:val="HideTWBInt"/>
        </w:rPr>
        <w:t>{17/05/2017}</w:t>
      </w:r>
      <w:r w:rsidR="00DE6A55" w:rsidRPr="00DB522B">
        <w:t>17.5.2017</w:t>
      </w:r>
      <w:r w:rsidRPr="00DB522B">
        <w:rPr>
          <w:rStyle w:val="HideTWBExt"/>
          <w:noProof w:val="0"/>
        </w:rPr>
        <w:t>&lt;/Date&gt;</w:t>
      </w:r>
    </w:p>
    <w:p w14:paraId="003CA277" w14:textId="77777777" w:rsidR="00100069" w:rsidRPr="00DB522B" w:rsidRDefault="00100069">
      <w:pPr>
        <w:pStyle w:val="TypeDoc"/>
      </w:pPr>
      <w:r w:rsidRPr="00DB522B">
        <w:rPr>
          <w:rStyle w:val="HideTWBExt"/>
          <w:b w:val="0"/>
          <w:noProof w:val="0"/>
        </w:rPr>
        <w:t>&lt;TitreType&gt;</w:t>
      </w:r>
      <w:r w:rsidR="00366AFE" w:rsidRPr="00DB522B">
        <w:t>REPORT</w:t>
      </w:r>
      <w:r w:rsidRPr="00DB522B">
        <w:rPr>
          <w:rStyle w:val="HideTWBExt"/>
          <w:b w:val="0"/>
          <w:noProof w:val="0"/>
        </w:rPr>
        <w:t>&lt;/TitreType&gt;</w:t>
      </w:r>
    </w:p>
    <w:p w14:paraId="313152AC" w14:textId="77777777" w:rsidR="00100069" w:rsidRPr="003456ED" w:rsidRDefault="00100069">
      <w:pPr>
        <w:pStyle w:val="CoverNormal"/>
      </w:pPr>
      <w:r w:rsidRPr="003456ED">
        <w:rPr>
          <w:rStyle w:val="HideTWBExt"/>
          <w:noProof w:val="0"/>
        </w:rPr>
        <w:t>&lt;Titre&gt;</w:t>
      </w:r>
      <w:r w:rsidR="008E68B1" w:rsidRPr="003456ED">
        <w:t xml:space="preserve">on </w:t>
      </w:r>
      <w:r w:rsidR="00A24B81" w:rsidRPr="003456ED">
        <w:t>the functioning of franchising in the retail sector</w:t>
      </w:r>
      <w:r w:rsidRPr="003456ED">
        <w:rPr>
          <w:rStyle w:val="HideTWBExt"/>
          <w:noProof w:val="0"/>
        </w:rPr>
        <w:t>&lt;/Titre&gt;</w:t>
      </w:r>
    </w:p>
    <w:p w14:paraId="4C3D671A" w14:textId="77777777" w:rsidR="00100069" w:rsidRPr="003456ED" w:rsidRDefault="00100069">
      <w:pPr>
        <w:pStyle w:val="Cover24"/>
      </w:pPr>
      <w:r w:rsidRPr="003456ED">
        <w:rPr>
          <w:rStyle w:val="HideTWBExt"/>
          <w:noProof w:val="0"/>
        </w:rPr>
        <w:t>&lt;DocRef&gt;</w:t>
      </w:r>
      <w:r w:rsidR="008E68B1" w:rsidRPr="003456ED">
        <w:t>(</w:t>
      </w:r>
      <w:r w:rsidR="00A24B81" w:rsidRPr="003456ED">
        <w:t>2016/2244</w:t>
      </w:r>
      <w:r w:rsidR="008E68B1" w:rsidRPr="003456ED">
        <w:t>(INI))</w:t>
      </w:r>
      <w:r w:rsidRPr="003456ED">
        <w:rPr>
          <w:rStyle w:val="HideTWBExt"/>
          <w:noProof w:val="0"/>
        </w:rPr>
        <w:t>&lt;/DocRef&gt;</w:t>
      </w:r>
    </w:p>
    <w:p w14:paraId="6AA937C5" w14:textId="77777777" w:rsidR="00100069" w:rsidRPr="003456ED" w:rsidRDefault="00100069">
      <w:pPr>
        <w:pStyle w:val="Cover24"/>
      </w:pPr>
      <w:r w:rsidRPr="003456ED">
        <w:rPr>
          <w:rStyle w:val="HideTWBExt"/>
          <w:noProof w:val="0"/>
        </w:rPr>
        <w:t>&lt;Commission&gt;</w:t>
      </w:r>
      <w:r w:rsidR="00A24B81" w:rsidRPr="003456ED">
        <w:rPr>
          <w:rStyle w:val="HideTWBInt"/>
        </w:rPr>
        <w:t>{IMCO}</w:t>
      </w:r>
      <w:r w:rsidR="00A24B81" w:rsidRPr="003456ED">
        <w:t>Committee on the Internal Market and Consumer Protection</w:t>
      </w:r>
      <w:r w:rsidRPr="003456ED">
        <w:rPr>
          <w:rStyle w:val="HideTWBExt"/>
          <w:noProof w:val="0"/>
        </w:rPr>
        <w:t>&lt;/Commission&gt;</w:t>
      </w:r>
    </w:p>
    <w:p w14:paraId="78CD6CE9" w14:textId="77777777" w:rsidR="0038091A" w:rsidRPr="0021052C" w:rsidRDefault="008E68B1" w:rsidP="0038091A">
      <w:pPr>
        <w:pStyle w:val="Cover24"/>
        <w:rPr>
          <w:lang w:val="fr-FR"/>
        </w:rPr>
      </w:pPr>
      <w:r w:rsidRPr="0021052C">
        <w:rPr>
          <w:lang w:val="fr-FR"/>
        </w:rPr>
        <w:t>Rapporteur:</w:t>
      </w:r>
      <w:r w:rsidR="00100069" w:rsidRPr="0021052C">
        <w:rPr>
          <w:lang w:val="fr-FR"/>
        </w:rPr>
        <w:t xml:space="preserve"> </w:t>
      </w:r>
      <w:r w:rsidR="00100069" w:rsidRPr="0021052C">
        <w:rPr>
          <w:rStyle w:val="HideTWBExt"/>
          <w:noProof w:val="0"/>
          <w:lang w:val="fr-FR"/>
        </w:rPr>
        <w:t>&lt;Depute&gt;</w:t>
      </w:r>
      <w:r w:rsidR="00A24B81" w:rsidRPr="0021052C">
        <w:rPr>
          <w:lang w:val="fr-FR"/>
        </w:rPr>
        <w:t>Dennis de Jong</w:t>
      </w:r>
      <w:r w:rsidR="00100069" w:rsidRPr="0021052C">
        <w:rPr>
          <w:rStyle w:val="HideTWBExt"/>
          <w:noProof w:val="0"/>
          <w:lang w:val="fr-FR"/>
        </w:rPr>
        <w:t>&lt;/Depute&gt;</w:t>
      </w:r>
    </w:p>
    <w:p w14:paraId="7BD81982" w14:textId="77777777" w:rsidR="00157EBA" w:rsidRPr="0021052C" w:rsidRDefault="00157EBA">
      <w:pPr>
        <w:pStyle w:val="Cover24"/>
        <w:rPr>
          <w:rStyle w:val="HideTWBExt"/>
          <w:noProof w:val="0"/>
          <w:lang w:val="fr-FR"/>
        </w:rPr>
      </w:pPr>
    </w:p>
    <w:p w14:paraId="2C577B9A" w14:textId="77777777" w:rsidR="00157EBA" w:rsidRPr="003456ED" w:rsidRDefault="00157EBA" w:rsidP="00157EBA">
      <w:pPr>
        <w:pStyle w:val="Cover24"/>
        <w:spacing w:after="0"/>
        <w:rPr>
          <w:snapToGrid w:val="0"/>
          <w:szCs w:val="24"/>
        </w:rPr>
      </w:pPr>
      <w:r w:rsidRPr="003456ED">
        <w:rPr>
          <w:snapToGrid w:val="0"/>
          <w:szCs w:val="24"/>
        </w:rPr>
        <w:t>Rapporteurs for the opinion (*):</w:t>
      </w:r>
    </w:p>
    <w:p w14:paraId="332D81A9" w14:textId="77777777" w:rsidR="00157EBA" w:rsidRPr="003456ED" w:rsidRDefault="00157EBA" w:rsidP="00157EBA">
      <w:pPr>
        <w:pStyle w:val="Cover24"/>
      </w:pPr>
      <w:r w:rsidRPr="003456ED">
        <w:t>Doru-Claudian Frunzulică, Committee on Economic and Monetary Affairs</w:t>
      </w:r>
    </w:p>
    <w:p w14:paraId="73D40B81" w14:textId="77777777" w:rsidR="00157EBA" w:rsidRPr="003456ED" w:rsidRDefault="00157EBA" w:rsidP="00157EBA">
      <w:pPr>
        <w:pStyle w:val="Cover24"/>
      </w:pPr>
    </w:p>
    <w:p w14:paraId="28CA4F46" w14:textId="77777777" w:rsidR="00157EBA" w:rsidRPr="003456ED" w:rsidRDefault="00157EBA" w:rsidP="00157EBA">
      <w:pPr>
        <w:pStyle w:val="Cover24"/>
        <w:rPr>
          <w:snapToGrid w:val="0"/>
          <w:szCs w:val="24"/>
        </w:rPr>
      </w:pPr>
      <w:r w:rsidRPr="003456ED">
        <w:rPr>
          <w:snapToGrid w:val="0"/>
          <w:szCs w:val="24"/>
        </w:rPr>
        <w:t>(*)</w:t>
      </w:r>
      <w:r w:rsidRPr="003456ED">
        <w:rPr>
          <w:snapToGrid w:val="0"/>
          <w:szCs w:val="24"/>
        </w:rPr>
        <w:tab/>
        <w:t>Associated committees – Rule 54 of the Rules of Procedure</w:t>
      </w:r>
    </w:p>
    <w:p w14:paraId="744FEA32" w14:textId="77777777" w:rsidR="00100069" w:rsidRPr="003456ED" w:rsidRDefault="00100069" w:rsidP="002544DF">
      <w:pPr>
        <w:widowControl/>
        <w:tabs>
          <w:tab w:val="center" w:pos="4677"/>
        </w:tabs>
      </w:pPr>
      <w:r w:rsidRPr="003456ED">
        <w:br w:type="page"/>
      </w:r>
    </w:p>
    <w:p w14:paraId="38D88217" w14:textId="77777777" w:rsidR="00100069" w:rsidRPr="00DB522B" w:rsidRDefault="008E68B1" w:rsidP="002544DF">
      <w:pPr>
        <w:widowControl/>
        <w:tabs>
          <w:tab w:val="center" w:pos="4677"/>
        </w:tabs>
        <w:rPr>
          <w:lang w:val="fr-LU"/>
        </w:rPr>
      </w:pPr>
      <w:r w:rsidRPr="00DB522B">
        <w:rPr>
          <w:lang w:val="fr-LU"/>
        </w:rPr>
        <w:lastRenderedPageBreak/>
        <w:t>PR_INI</w:t>
      </w:r>
    </w:p>
    <w:p w14:paraId="650384FE" w14:textId="77777777" w:rsidR="00100069" w:rsidRPr="00DB522B" w:rsidRDefault="008E68B1">
      <w:pPr>
        <w:pStyle w:val="TOCHeading"/>
        <w:rPr>
          <w:lang w:val="fr-LU"/>
        </w:rPr>
      </w:pPr>
      <w:r w:rsidRPr="00DB522B">
        <w:rPr>
          <w:lang w:val="fr-LU"/>
        </w:rPr>
        <w:t>CONTENTS</w:t>
      </w:r>
    </w:p>
    <w:p w14:paraId="5311FFE7" w14:textId="77777777" w:rsidR="00100069" w:rsidRPr="00DB522B" w:rsidRDefault="008E68B1">
      <w:pPr>
        <w:pStyle w:val="TOCPage"/>
        <w:rPr>
          <w:lang w:val="fr-LU"/>
        </w:rPr>
      </w:pPr>
      <w:r w:rsidRPr="00DB522B">
        <w:rPr>
          <w:lang w:val="fr-LU"/>
        </w:rPr>
        <w:t>Page</w:t>
      </w:r>
    </w:p>
    <w:p w14:paraId="749335E1" w14:textId="77777777" w:rsidR="00E15344" w:rsidRPr="00DB522B" w:rsidRDefault="002544DF">
      <w:pPr>
        <w:pStyle w:val="TOC1"/>
        <w:tabs>
          <w:tab w:val="right" w:leader="dot" w:pos="9060"/>
        </w:tabs>
        <w:rPr>
          <w:rFonts w:asciiTheme="minorHAnsi" w:eastAsiaTheme="minorEastAsia" w:hAnsiTheme="minorHAnsi" w:cstheme="minorBidi"/>
          <w:noProof/>
          <w:sz w:val="22"/>
          <w:szCs w:val="22"/>
          <w:lang w:val="fr-LU"/>
        </w:rPr>
      </w:pPr>
      <w:r w:rsidRPr="003456ED">
        <w:rPr>
          <w:b/>
        </w:rPr>
        <w:fldChar w:fldCharType="begin"/>
      </w:r>
      <w:r w:rsidRPr="00DB522B">
        <w:rPr>
          <w:b/>
          <w:lang w:val="fr-LU"/>
        </w:rPr>
        <w:instrText xml:space="preserve"> TOC \t "PageHeading</w:instrText>
      </w:r>
      <w:r w:rsidR="00DE6A55" w:rsidRPr="00DB522B">
        <w:rPr>
          <w:b/>
          <w:lang w:val="fr-LU"/>
        </w:rPr>
        <w:instrText>;</w:instrText>
      </w:r>
      <w:r w:rsidRPr="00DB522B">
        <w:rPr>
          <w:b/>
          <w:lang w:val="fr-LU"/>
        </w:rPr>
        <w:instrText xml:space="preserve">1" </w:instrText>
      </w:r>
      <w:r w:rsidRPr="003456ED">
        <w:rPr>
          <w:b/>
        </w:rPr>
        <w:fldChar w:fldCharType="separate"/>
      </w:r>
      <w:r w:rsidR="00E15344" w:rsidRPr="00DB522B">
        <w:rPr>
          <w:noProof/>
          <w:lang w:val="fr-LU"/>
        </w:rPr>
        <w:t>MOTION FOR A EUROPEAN PARLIAMENT RESOLUTION</w:t>
      </w:r>
      <w:r w:rsidR="00E15344" w:rsidRPr="00DB522B">
        <w:rPr>
          <w:noProof/>
          <w:lang w:val="fr-LU"/>
        </w:rPr>
        <w:tab/>
      </w:r>
      <w:r w:rsidR="00E15344">
        <w:rPr>
          <w:noProof/>
        </w:rPr>
        <w:fldChar w:fldCharType="begin"/>
      </w:r>
      <w:r w:rsidR="00E15344" w:rsidRPr="00DB522B">
        <w:rPr>
          <w:noProof/>
          <w:lang w:val="fr-LU"/>
        </w:rPr>
        <w:instrText xml:space="preserve"> PAGEREF _Toc482779347 \h </w:instrText>
      </w:r>
      <w:r w:rsidR="00E15344">
        <w:rPr>
          <w:noProof/>
        </w:rPr>
      </w:r>
      <w:r w:rsidR="00E15344">
        <w:rPr>
          <w:noProof/>
        </w:rPr>
        <w:fldChar w:fldCharType="separate"/>
      </w:r>
      <w:r w:rsidR="00E15344" w:rsidRPr="00DB522B">
        <w:rPr>
          <w:noProof/>
          <w:lang w:val="fr-LU"/>
        </w:rPr>
        <w:t>3</w:t>
      </w:r>
      <w:r w:rsidR="00E15344">
        <w:rPr>
          <w:noProof/>
        </w:rPr>
        <w:fldChar w:fldCharType="end"/>
      </w:r>
    </w:p>
    <w:p w14:paraId="4E86E755" w14:textId="77777777" w:rsidR="00E15344" w:rsidRDefault="00E15344">
      <w:pPr>
        <w:pStyle w:val="TOC1"/>
        <w:tabs>
          <w:tab w:val="right" w:leader="dot" w:pos="9060"/>
        </w:tabs>
        <w:rPr>
          <w:rFonts w:asciiTheme="minorHAnsi" w:eastAsiaTheme="minorEastAsia" w:hAnsiTheme="minorHAnsi" w:cstheme="minorBidi"/>
          <w:noProof/>
          <w:sz w:val="22"/>
          <w:szCs w:val="22"/>
        </w:rPr>
      </w:pPr>
      <w:r>
        <w:rPr>
          <w:noProof/>
        </w:rPr>
        <w:t>ANNEX: LIST OF ENTITIES OR PERSONS FROM WHOM THE RAPPORTEUR HAS RECEIVED INPUT</w:t>
      </w:r>
      <w:r>
        <w:rPr>
          <w:noProof/>
        </w:rPr>
        <w:tab/>
      </w:r>
      <w:r>
        <w:rPr>
          <w:noProof/>
        </w:rPr>
        <w:fldChar w:fldCharType="begin"/>
      </w:r>
      <w:r>
        <w:rPr>
          <w:noProof/>
        </w:rPr>
        <w:instrText xml:space="preserve"> PAGEREF _Toc482779348 \h </w:instrText>
      </w:r>
      <w:r>
        <w:rPr>
          <w:noProof/>
        </w:rPr>
      </w:r>
      <w:r>
        <w:rPr>
          <w:noProof/>
        </w:rPr>
        <w:fldChar w:fldCharType="separate"/>
      </w:r>
      <w:r>
        <w:rPr>
          <w:noProof/>
        </w:rPr>
        <w:t>10</w:t>
      </w:r>
      <w:r>
        <w:rPr>
          <w:noProof/>
        </w:rPr>
        <w:fldChar w:fldCharType="end"/>
      </w:r>
    </w:p>
    <w:p w14:paraId="2865859E" w14:textId="77777777" w:rsidR="00E15344" w:rsidRDefault="00E15344">
      <w:pPr>
        <w:pStyle w:val="TOC1"/>
        <w:tabs>
          <w:tab w:val="right" w:leader="dot" w:pos="9060"/>
        </w:tabs>
        <w:rPr>
          <w:rFonts w:asciiTheme="minorHAnsi" w:eastAsiaTheme="minorEastAsia" w:hAnsiTheme="minorHAnsi" w:cstheme="minorBidi"/>
          <w:noProof/>
          <w:sz w:val="22"/>
          <w:szCs w:val="22"/>
        </w:rPr>
      </w:pPr>
      <w:r>
        <w:rPr>
          <w:noProof/>
        </w:rPr>
        <w:t xml:space="preserve">OPINION </w:t>
      </w:r>
      <w:r w:rsidRPr="00A55F25">
        <w:rPr>
          <w:caps/>
          <w:noProof/>
        </w:rPr>
        <w:t>of the Committee on Economic and Monetary Affairs</w:t>
      </w:r>
      <w:r>
        <w:rPr>
          <w:noProof/>
        </w:rPr>
        <w:tab/>
      </w:r>
      <w:r>
        <w:rPr>
          <w:noProof/>
        </w:rPr>
        <w:fldChar w:fldCharType="begin"/>
      </w:r>
      <w:r>
        <w:rPr>
          <w:noProof/>
        </w:rPr>
        <w:instrText xml:space="preserve"> PAGEREF _Toc482779349 \h </w:instrText>
      </w:r>
      <w:r>
        <w:rPr>
          <w:noProof/>
        </w:rPr>
      </w:r>
      <w:r>
        <w:rPr>
          <w:noProof/>
        </w:rPr>
        <w:fldChar w:fldCharType="separate"/>
      </w:r>
      <w:r>
        <w:rPr>
          <w:noProof/>
        </w:rPr>
        <w:t>11</w:t>
      </w:r>
      <w:r>
        <w:rPr>
          <w:noProof/>
        </w:rPr>
        <w:fldChar w:fldCharType="end"/>
      </w:r>
    </w:p>
    <w:p w14:paraId="59C3BACA" w14:textId="77777777" w:rsidR="00E15344" w:rsidRDefault="00E15344">
      <w:pPr>
        <w:pStyle w:val="TOC1"/>
        <w:tabs>
          <w:tab w:val="right" w:leader="dot" w:pos="9060"/>
        </w:tabs>
        <w:rPr>
          <w:rFonts w:asciiTheme="minorHAnsi" w:eastAsiaTheme="minorEastAsia" w:hAnsiTheme="minorHAnsi" w:cstheme="minorBidi"/>
          <w:noProof/>
          <w:sz w:val="22"/>
          <w:szCs w:val="22"/>
        </w:rPr>
      </w:pPr>
      <w:r>
        <w:rPr>
          <w:noProof/>
        </w:rPr>
        <w:t>INFORMATION ON ADOPTION IN COMMITTEE RESPONSIBLE</w:t>
      </w:r>
      <w:r>
        <w:rPr>
          <w:noProof/>
        </w:rPr>
        <w:tab/>
      </w:r>
      <w:r>
        <w:rPr>
          <w:noProof/>
        </w:rPr>
        <w:fldChar w:fldCharType="begin"/>
      </w:r>
      <w:r>
        <w:rPr>
          <w:noProof/>
        </w:rPr>
        <w:instrText xml:space="preserve"> PAGEREF _Toc482779350 \h </w:instrText>
      </w:r>
      <w:r>
        <w:rPr>
          <w:noProof/>
        </w:rPr>
      </w:r>
      <w:r>
        <w:rPr>
          <w:noProof/>
        </w:rPr>
        <w:fldChar w:fldCharType="separate"/>
      </w:r>
      <w:r>
        <w:rPr>
          <w:noProof/>
        </w:rPr>
        <w:t>16</w:t>
      </w:r>
      <w:r>
        <w:rPr>
          <w:noProof/>
        </w:rPr>
        <w:fldChar w:fldCharType="end"/>
      </w:r>
    </w:p>
    <w:p w14:paraId="44E1C0A8" w14:textId="77777777" w:rsidR="00E15344" w:rsidRDefault="00E15344">
      <w:pPr>
        <w:pStyle w:val="TOC1"/>
        <w:tabs>
          <w:tab w:val="right" w:leader="dot" w:pos="9060"/>
        </w:tabs>
        <w:rPr>
          <w:rFonts w:asciiTheme="minorHAnsi" w:eastAsiaTheme="minorEastAsia" w:hAnsiTheme="minorHAnsi" w:cstheme="minorBidi"/>
          <w:noProof/>
          <w:sz w:val="22"/>
          <w:szCs w:val="22"/>
        </w:rPr>
      </w:pPr>
      <w:r>
        <w:rPr>
          <w:noProof/>
        </w:rPr>
        <w:t>FINAL VOTE BY ROLL CALL IN COMMITTEE RESPONSIBLE</w:t>
      </w:r>
      <w:r>
        <w:rPr>
          <w:noProof/>
        </w:rPr>
        <w:tab/>
      </w:r>
      <w:r>
        <w:rPr>
          <w:noProof/>
        </w:rPr>
        <w:fldChar w:fldCharType="begin"/>
      </w:r>
      <w:r>
        <w:rPr>
          <w:noProof/>
        </w:rPr>
        <w:instrText xml:space="preserve"> PAGEREF _Toc482779351 \h </w:instrText>
      </w:r>
      <w:r>
        <w:rPr>
          <w:noProof/>
        </w:rPr>
      </w:r>
      <w:r>
        <w:rPr>
          <w:noProof/>
        </w:rPr>
        <w:fldChar w:fldCharType="separate"/>
      </w:r>
      <w:r>
        <w:rPr>
          <w:noProof/>
        </w:rPr>
        <w:t>17</w:t>
      </w:r>
      <w:r>
        <w:rPr>
          <w:noProof/>
        </w:rPr>
        <w:fldChar w:fldCharType="end"/>
      </w:r>
    </w:p>
    <w:p w14:paraId="23A8CEBD" w14:textId="77777777" w:rsidR="00100069" w:rsidRPr="003456ED" w:rsidRDefault="002544DF" w:rsidP="00E155CA">
      <w:r w:rsidRPr="003456ED">
        <w:rPr>
          <w:b/>
        </w:rPr>
        <w:fldChar w:fldCharType="end"/>
      </w:r>
    </w:p>
    <w:p w14:paraId="1E0FFD1B" w14:textId="77777777" w:rsidR="00E155CA" w:rsidRPr="003456ED" w:rsidRDefault="00E155CA" w:rsidP="00E155CA"/>
    <w:p w14:paraId="666DC37B" w14:textId="77777777" w:rsidR="00E155CA" w:rsidRPr="003456ED" w:rsidRDefault="00E155CA">
      <w:pPr>
        <w:pStyle w:val="PageHeading"/>
      </w:pPr>
    </w:p>
    <w:p w14:paraId="1BF13B40" w14:textId="77777777" w:rsidR="00100069" w:rsidRPr="003456ED" w:rsidRDefault="00100069">
      <w:pPr>
        <w:pStyle w:val="PageHeading"/>
      </w:pPr>
      <w:r w:rsidRPr="003456ED">
        <w:br w:type="page"/>
      </w:r>
      <w:bookmarkStart w:id="0" w:name="_Toc482779347"/>
      <w:r w:rsidR="008E68B1" w:rsidRPr="003456ED">
        <w:lastRenderedPageBreak/>
        <w:t>MOTION FOR A EUROPEAN PARLIAMENT RESOLUTION</w:t>
      </w:r>
      <w:bookmarkEnd w:id="0"/>
    </w:p>
    <w:p w14:paraId="107AB981" w14:textId="77777777" w:rsidR="00100069" w:rsidRPr="003456ED" w:rsidRDefault="008E68B1">
      <w:pPr>
        <w:pStyle w:val="NormalBold"/>
      </w:pPr>
      <w:r w:rsidRPr="003456ED">
        <w:t xml:space="preserve">on </w:t>
      </w:r>
      <w:r w:rsidR="00A24B81" w:rsidRPr="003456ED">
        <w:t>the functioning of franchising in the retail sector</w:t>
      </w:r>
    </w:p>
    <w:p w14:paraId="4F2B46A1" w14:textId="77777777" w:rsidR="00100069" w:rsidRPr="003456ED" w:rsidRDefault="008E68B1">
      <w:pPr>
        <w:pStyle w:val="Normal12Bold"/>
      </w:pPr>
      <w:r w:rsidRPr="003456ED">
        <w:t>(</w:t>
      </w:r>
      <w:r w:rsidR="00A24B81" w:rsidRPr="003456ED">
        <w:t>2016/2244</w:t>
      </w:r>
      <w:r w:rsidRPr="003456ED">
        <w:t>(INI))</w:t>
      </w:r>
    </w:p>
    <w:p w14:paraId="4A41743E" w14:textId="77777777" w:rsidR="00100069" w:rsidRPr="003456ED" w:rsidRDefault="008E68B1">
      <w:pPr>
        <w:pStyle w:val="Normal12"/>
      </w:pPr>
      <w:r w:rsidRPr="003456ED">
        <w:rPr>
          <w:i/>
        </w:rPr>
        <w:t>The European Parliament</w:t>
      </w:r>
      <w:r w:rsidRPr="003456ED">
        <w:t>,</w:t>
      </w:r>
    </w:p>
    <w:p w14:paraId="4C153BA0" w14:textId="77777777" w:rsidR="00A24B81" w:rsidRPr="003456ED" w:rsidRDefault="00100069" w:rsidP="00DE085A">
      <w:pPr>
        <w:pStyle w:val="Normal12Hanging"/>
      </w:pPr>
      <w:r w:rsidRPr="003456ED">
        <w:t>–</w:t>
      </w:r>
      <w:r w:rsidRPr="003456ED">
        <w:tab/>
      </w:r>
      <w:r w:rsidR="00A24B81" w:rsidRPr="003456ED">
        <w:rPr>
          <w:snapToGrid w:val="0"/>
          <w:szCs w:val="24"/>
        </w:rPr>
        <w:t xml:space="preserve">having regard to its resolution of 11 December 2013 on </w:t>
      </w:r>
      <w:r w:rsidR="009828F5" w:rsidRPr="003456ED">
        <w:rPr>
          <w:snapToGrid w:val="0"/>
          <w:szCs w:val="24"/>
        </w:rPr>
        <w:t>the</w:t>
      </w:r>
      <w:r w:rsidR="00A24B81" w:rsidRPr="003456ED">
        <w:rPr>
          <w:snapToGrid w:val="0"/>
          <w:szCs w:val="24"/>
        </w:rPr>
        <w:t xml:space="preserve"> European Retail Action Plan for the benefit of all actors</w:t>
      </w:r>
      <w:r w:rsidR="00A24B81" w:rsidRPr="003456ED">
        <w:rPr>
          <w:rStyle w:val="FootnoteReference"/>
          <w:snapToGrid w:val="0"/>
          <w:szCs w:val="24"/>
        </w:rPr>
        <w:footnoteReference w:id="1"/>
      </w:r>
      <w:r w:rsidR="00A24B81" w:rsidRPr="003456ED">
        <w:rPr>
          <w:snapToGrid w:val="0"/>
          <w:szCs w:val="24"/>
        </w:rPr>
        <w:t>, and in particular paragraph 29 thereof,</w:t>
      </w:r>
      <w:r w:rsidR="00A24B81" w:rsidRPr="003456ED">
        <w:rPr>
          <w:szCs w:val="24"/>
        </w:rPr>
        <w:t xml:space="preserve"> </w:t>
      </w:r>
    </w:p>
    <w:p w14:paraId="659D3F71" w14:textId="77777777" w:rsidR="00A24B81" w:rsidRPr="003456ED" w:rsidRDefault="00100069" w:rsidP="00DE085A">
      <w:pPr>
        <w:pStyle w:val="Normal12Hanging"/>
        <w:rPr>
          <w:szCs w:val="24"/>
        </w:rPr>
      </w:pPr>
      <w:r w:rsidRPr="003456ED">
        <w:t>–</w:t>
      </w:r>
      <w:r w:rsidRPr="003456ED">
        <w:tab/>
      </w:r>
      <w:r w:rsidR="00A24B81" w:rsidRPr="003456ED">
        <w:rPr>
          <w:snapToGrid w:val="0"/>
          <w:szCs w:val="24"/>
        </w:rPr>
        <w:t>having regard to its resolution of 7 June 2016 on unfair trading practices in the food supply chain</w:t>
      </w:r>
      <w:r w:rsidR="00A24B81" w:rsidRPr="003456ED">
        <w:rPr>
          <w:rStyle w:val="FootnoteReference"/>
          <w:snapToGrid w:val="0"/>
          <w:szCs w:val="24"/>
        </w:rPr>
        <w:footnoteReference w:id="2"/>
      </w:r>
      <w:r w:rsidR="00A24B81" w:rsidRPr="003456ED">
        <w:rPr>
          <w:snapToGrid w:val="0"/>
          <w:szCs w:val="24"/>
        </w:rPr>
        <w:t>,</w:t>
      </w:r>
      <w:r w:rsidR="00A24B81" w:rsidRPr="003456ED">
        <w:rPr>
          <w:szCs w:val="24"/>
        </w:rPr>
        <w:t xml:space="preserve"> </w:t>
      </w:r>
    </w:p>
    <w:p w14:paraId="5C97B57B" w14:textId="77777777" w:rsidR="00A24B81" w:rsidRPr="003456ED" w:rsidRDefault="00A24B81" w:rsidP="00DE085A">
      <w:pPr>
        <w:pStyle w:val="Normal12Hanging"/>
        <w:rPr>
          <w:szCs w:val="24"/>
        </w:rPr>
      </w:pPr>
      <w:r w:rsidRPr="003456ED">
        <w:t>–</w:t>
      </w:r>
      <w:r w:rsidRPr="003456ED">
        <w:tab/>
      </w:r>
      <w:r w:rsidRPr="003456ED">
        <w:rPr>
          <w:snapToGrid w:val="0"/>
          <w:szCs w:val="24"/>
        </w:rPr>
        <w:t xml:space="preserve">having regard to the study </w:t>
      </w:r>
      <w:r w:rsidR="00CD14CB" w:rsidRPr="003456ED">
        <w:rPr>
          <w:snapToGrid w:val="0"/>
          <w:szCs w:val="24"/>
        </w:rPr>
        <w:t>of April 2016 commissioned by</w:t>
      </w:r>
      <w:r w:rsidRPr="003456ED">
        <w:rPr>
          <w:snapToGrid w:val="0"/>
          <w:szCs w:val="24"/>
        </w:rPr>
        <w:t xml:space="preserve"> the IMCO Committee on franchising</w:t>
      </w:r>
      <w:r w:rsidRPr="003456ED">
        <w:rPr>
          <w:rStyle w:val="FootnoteReference"/>
          <w:snapToGrid w:val="0"/>
          <w:szCs w:val="24"/>
        </w:rPr>
        <w:footnoteReference w:id="3"/>
      </w:r>
      <w:r w:rsidRPr="003456ED">
        <w:rPr>
          <w:snapToGrid w:val="0"/>
          <w:szCs w:val="24"/>
        </w:rPr>
        <w:t>,</w:t>
      </w:r>
      <w:r w:rsidRPr="003456ED">
        <w:rPr>
          <w:szCs w:val="24"/>
        </w:rPr>
        <w:t xml:space="preserve"> </w:t>
      </w:r>
    </w:p>
    <w:p w14:paraId="431A0AF2" w14:textId="77777777" w:rsidR="00A24B81" w:rsidRPr="003456ED" w:rsidRDefault="00A24B81" w:rsidP="00DE085A">
      <w:pPr>
        <w:pStyle w:val="Normal12Hanging"/>
      </w:pPr>
      <w:r w:rsidRPr="003456ED">
        <w:t>–</w:t>
      </w:r>
      <w:r w:rsidRPr="003456ED">
        <w:tab/>
      </w:r>
      <w:r w:rsidRPr="003456ED">
        <w:rPr>
          <w:snapToGrid w:val="0"/>
          <w:szCs w:val="24"/>
        </w:rPr>
        <w:t xml:space="preserve">having regard to the study </w:t>
      </w:r>
      <w:r w:rsidR="00CD14CB" w:rsidRPr="003456ED">
        <w:rPr>
          <w:snapToGrid w:val="0"/>
          <w:szCs w:val="24"/>
        </w:rPr>
        <w:t xml:space="preserve">of September 2016 commissioned by </w:t>
      </w:r>
      <w:r w:rsidRPr="003456ED">
        <w:rPr>
          <w:snapToGrid w:val="0"/>
          <w:szCs w:val="24"/>
        </w:rPr>
        <w:t>the IMCO Committee entitled ‘Legal Perspective of the Regulatory Framework and Challenges for Franchising in the EU’</w:t>
      </w:r>
      <w:r w:rsidRPr="003456ED">
        <w:rPr>
          <w:rStyle w:val="FootnoteReference"/>
          <w:snapToGrid w:val="0"/>
          <w:szCs w:val="24"/>
        </w:rPr>
        <w:footnoteReference w:id="4"/>
      </w:r>
      <w:r w:rsidRPr="003456ED">
        <w:rPr>
          <w:snapToGrid w:val="0"/>
          <w:szCs w:val="24"/>
        </w:rPr>
        <w:t>,</w:t>
      </w:r>
      <w:r w:rsidRPr="003456ED">
        <w:rPr>
          <w:szCs w:val="24"/>
        </w:rPr>
        <w:t xml:space="preserve"> </w:t>
      </w:r>
    </w:p>
    <w:p w14:paraId="5922C8E5" w14:textId="77777777" w:rsidR="00A24B81" w:rsidRPr="003456ED" w:rsidRDefault="00A24B81" w:rsidP="00DE085A">
      <w:pPr>
        <w:pStyle w:val="Normal12Hanging"/>
      </w:pPr>
      <w:r w:rsidRPr="003456ED">
        <w:t>–</w:t>
      </w:r>
      <w:r w:rsidRPr="003456ED">
        <w:tab/>
      </w:r>
      <w:r w:rsidRPr="003456ED">
        <w:rPr>
          <w:snapToGrid w:val="0"/>
          <w:szCs w:val="24"/>
        </w:rPr>
        <w:t>having regard to the briefing entitled ‘Future Policy Options in Franchising in the EU: Confronting Unfair Trading Practices’</w:t>
      </w:r>
      <w:r w:rsidRPr="003456ED">
        <w:rPr>
          <w:rStyle w:val="FootnoteReference"/>
          <w:snapToGrid w:val="0"/>
          <w:szCs w:val="24"/>
        </w:rPr>
        <w:footnoteReference w:id="5"/>
      </w:r>
      <w:r w:rsidRPr="003456ED">
        <w:rPr>
          <w:snapToGrid w:val="0"/>
          <w:szCs w:val="24"/>
        </w:rPr>
        <w:t>,</w:t>
      </w:r>
      <w:r w:rsidRPr="003456ED">
        <w:rPr>
          <w:szCs w:val="24"/>
        </w:rPr>
        <w:t xml:space="preserve"> </w:t>
      </w:r>
    </w:p>
    <w:p w14:paraId="2681D102" w14:textId="77777777" w:rsidR="00A24B81" w:rsidRPr="003456ED" w:rsidRDefault="00A24B81" w:rsidP="00DE085A">
      <w:pPr>
        <w:pStyle w:val="Normal12Hanging"/>
      </w:pPr>
      <w:r w:rsidRPr="003456ED">
        <w:t>–</w:t>
      </w:r>
      <w:r w:rsidRPr="003456ED">
        <w:tab/>
      </w:r>
      <w:r w:rsidRPr="003456ED">
        <w:rPr>
          <w:snapToGrid w:val="0"/>
          <w:szCs w:val="24"/>
        </w:rPr>
        <w:t>having regard to the workshop entitled ‘Relations between franchisors and franchisees: regulatory framework and current challenges’, organised for the IMCO Committee on 12 July 2016,</w:t>
      </w:r>
    </w:p>
    <w:p w14:paraId="5D3C0F12" w14:textId="77777777" w:rsidR="00A24B81" w:rsidRPr="003456ED" w:rsidRDefault="00A24B81" w:rsidP="00DE085A">
      <w:pPr>
        <w:pStyle w:val="Normal12Hanging"/>
        <w:rPr>
          <w:szCs w:val="24"/>
        </w:rPr>
      </w:pPr>
      <w:r w:rsidRPr="003456ED">
        <w:t>–</w:t>
      </w:r>
      <w:r w:rsidRPr="003456ED">
        <w:tab/>
        <w:t>having regard to Rule 52 of its Rules of Procedure,</w:t>
      </w:r>
      <w:bookmarkStart w:id="1" w:name="DocEPTmp2"/>
      <w:bookmarkEnd w:id="1"/>
      <w:r w:rsidRPr="003456ED">
        <w:t xml:space="preserve"> </w:t>
      </w:r>
    </w:p>
    <w:p w14:paraId="641AFB1B" w14:textId="77777777" w:rsidR="00A24B81" w:rsidRPr="003456ED" w:rsidRDefault="00100069" w:rsidP="00DE085A">
      <w:pPr>
        <w:pStyle w:val="Normal12Hanging"/>
      </w:pPr>
      <w:r w:rsidRPr="003456ED">
        <w:t>–</w:t>
      </w:r>
      <w:r w:rsidRPr="003456ED">
        <w:tab/>
      </w:r>
      <w:r w:rsidR="008E68B1" w:rsidRPr="003456ED">
        <w:t xml:space="preserve">having regard to the report of the </w:t>
      </w:r>
      <w:r w:rsidR="00A24B81" w:rsidRPr="003456ED">
        <w:t>Committee on the Internal Market and Consumer Protection</w:t>
      </w:r>
      <w:r w:rsidR="008E68B1" w:rsidRPr="003456ED">
        <w:t xml:space="preserve"> </w:t>
      </w:r>
      <w:r w:rsidR="006F4DF5" w:rsidRPr="003456ED">
        <w:t xml:space="preserve">and the opinion of the Committee on Economic and Monetary Affairs </w:t>
      </w:r>
      <w:r w:rsidR="008E68B1" w:rsidRPr="003456ED">
        <w:t>(</w:t>
      </w:r>
      <w:r w:rsidR="00E15344">
        <w:t>A8-0199/2017</w:t>
      </w:r>
      <w:r w:rsidR="008E68B1" w:rsidRPr="003456ED">
        <w:t>),</w:t>
      </w:r>
      <w:r w:rsidR="00A24B81" w:rsidRPr="003456ED">
        <w:t xml:space="preserve"> </w:t>
      </w:r>
    </w:p>
    <w:p w14:paraId="7A202547" w14:textId="77777777" w:rsidR="00A24B81" w:rsidRPr="003456ED" w:rsidRDefault="00100069" w:rsidP="00DE085A">
      <w:pPr>
        <w:pStyle w:val="Normal12Hanging"/>
        <w:rPr>
          <w:snapToGrid w:val="0"/>
          <w:szCs w:val="24"/>
        </w:rPr>
      </w:pPr>
      <w:r w:rsidRPr="003456ED">
        <w:t>A.</w:t>
      </w:r>
      <w:r w:rsidRPr="003456ED">
        <w:tab/>
      </w:r>
      <w:r w:rsidR="00F94F13" w:rsidRPr="003456ED">
        <w:rPr>
          <w:snapToGrid w:val="0"/>
          <w:szCs w:val="24"/>
        </w:rPr>
        <w:t xml:space="preserve">whereas there is no common European definition of franchising and franchising agreements differ from one business to another, but one key feature of such relationships is a contractual partnership concluded on a voluntary basis between </w:t>
      </w:r>
      <w:r w:rsidR="0080319A" w:rsidRPr="003456ED">
        <w:rPr>
          <w:snapToGrid w:val="0"/>
          <w:szCs w:val="24"/>
        </w:rPr>
        <w:t>entrepreneurs</w:t>
      </w:r>
      <w:r w:rsidR="00F94F13" w:rsidRPr="003456ED">
        <w:rPr>
          <w:snapToGrid w:val="0"/>
          <w:szCs w:val="24"/>
        </w:rPr>
        <w:t xml:space="preserve"> or natural or legal persons that are legally and financially independent of each other, whereby one party (the franchisor) grants to the other party (the franchisee) the right to operate his franchising formula, name, and trademarks, and shares know-how, drawing on the franchisor’s technical and organisational expertise and assistance for the durat</w:t>
      </w:r>
      <w:r w:rsidR="0080319A" w:rsidRPr="003456ED">
        <w:rPr>
          <w:snapToGrid w:val="0"/>
          <w:szCs w:val="24"/>
        </w:rPr>
        <w:t>ion of the agreement, where cu</w:t>
      </w:r>
      <w:r w:rsidR="00F94F13" w:rsidRPr="003456ED">
        <w:rPr>
          <w:snapToGrid w:val="0"/>
          <w:szCs w:val="24"/>
        </w:rPr>
        <w:t>st</w:t>
      </w:r>
      <w:r w:rsidR="0080319A" w:rsidRPr="003456ED">
        <w:rPr>
          <w:snapToGrid w:val="0"/>
          <w:szCs w:val="24"/>
        </w:rPr>
        <w:t>o</w:t>
      </w:r>
      <w:r w:rsidR="00F94F13" w:rsidRPr="003456ED">
        <w:rPr>
          <w:snapToGrid w:val="0"/>
          <w:szCs w:val="24"/>
        </w:rPr>
        <w:t>mers rely upon the unity of the franchising system, the intention of both the franchisor and the franchisee being to allow for the rapid acquisition of new markets with limited investment and an increased chance of success;</w:t>
      </w:r>
    </w:p>
    <w:p w14:paraId="3E431944" w14:textId="77777777" w:rsidR="00D16600" w:rsidRPr="003456ED" w:rsidRDefault="00D16600" w:rsidP="00DE085A">
      <w:pPr>
        <w:pStyle w:val="Normal12Hanging"/>
      </w:pPr>
      <w:r w:rsidRPr="003456ED">
        <w:lastRenderedPageBreak/>
        <w:t>B.</w:t>
      </w:r>
      <w:r w:rsidRPr="003456ED">
        <w:tab/>
        <w:t>whereas in its resolution of 11 December 2013, Parliament welcomed franchising as a business model which supports new business and small-business ownership, but noted the existence of unfair contract terms in certain cases and called for transparent and fair contract terms; moreover, it drew the attention of the Commission and Member States, in particular, to problems faced by franchisees wishing to sell their business or change their business formula, whilst remaining active in the same sector and requested that the Commission examine the ban on price-fixing mechanisms in franchise systems and the effects of long-term competition clauses, purchase options and the prohibition of multi-franchising;</w:t>
      </w:r>
    </w:p>
    <w:p w14:paraId="2F2D24F0" w14:textId="77777777" w:rsidR="00A24B81" w:rsidRPr="003456ED" w:rsidRDefault="00A24B81" w:rsidP="00DE085A">
      <w:pPr>
        <w:pStyle w:val="Normal12Hanging"/>
        <w:rPr>
          <w:snapToGrid w:val="0"/>
          <w:szCs w:val="24"/>
        </w:rPr>
      </w:pPr>
      <w:r w:rsidRPr="003456ED">
        <w:rPr>
          <w:snapToGrid w:val="0"/>
          <w:szCs w:val="24"/>
        </w:rPr>
        <w:t>C.</w:t>
      </w:r>
      <w:r w:rsidRPr="003456ED">
        <w:rPr>
          <w:snapToGrid w:val="0"/>
          <w:szCs w:val="24"/>
        </w:rPr>
        <w:tab/>
      </w:r>
      <w:r w:rsidR="00F94F13" w:rsidRPr="003456ED">
        <w:rPr>
          <w:snapToGrid w:val="0"/>
          <w:szCs w:val="24"/>
        </w:rPr>
        <w:t>whereas franchising has the full potential of being a business model that can help in completing the single market in the retail sector, as it can be a convenient means to establish a business through a shared investment by the franchisor and franchisee; is therefore disappointed that it is currently under-performing in the EU, representing only 1.89</w:t>
      </w:r>
      <w:r w:rsidR="00B13C43" w:rsidRPr="003456ED">
        <w:rPr>
          <w:snapToGrid w:val="0"/>
          <w:szCs w:val="24"/>
        </w:rPr>
        <w:t> </w:t>
      </w:r>
      <w:r w:rsidR="00F94F13" w:rsidRPr="003456ED">
        <w:rPr>
          <w:snapToGrid w:val="0"/>
          <w:szCs w:val="24"/>
        </w:rPr>
        <w:t>% of GDP, as opposed to 5.95</w:t>
      </w:r>
      <w:r w:rsidR="00B13C43" w:rsidRPr="003456ED">
        <w:rPr>
          <w:snapToGrid w:val="0"/>
          <w:szCs w:val="24"/>
        </w:rPr>
        <w:t> </w:t>
      </w:r>
      <w:r w:rsidR="00F94F13" w:rsidRPr="003456ED">
        <w:rPr>
          <w:snapToGrid w:val="0"/>
          <w:szCs w:val="24"/>
        </w:rPr>
        <w:t>% in the USA and 10.83</w:t>
      </w:r>
      <w:r w:rsidR="00B13C43" w:rsidRPr="003456ED">
        <w:rPr>
          <w:snapToGrid w:val="0"/>
          <w:szCs w:val="24"/>
        </w:rPr>
        <w:t> </w:t>
      </w:r>
      <w:r w:rsidR="00F94F13" w:rsidRPr="003456ED">
        <w:rPr>
          <w:snapToGrid w:val="0"/>
          <w:szCs w:val="24"/>
        </w:rPr>
        <w:t>% in Australia, 83.5</w:t>
      </w:r>
      <w:r w:rsidR="00B13C43" w:rsidRPr="003456ED">
        <w:rPr>
          <w:snapToGrid w:val="0"/>
          <w:szCs w:val="24"/>
        </w:rPr>
        <w:t> </w:t>
      </w:r>
      <w:r w:rsidR="00F94F13" w:rsidRPr="003456ED">
        <w:rPr>
          <w:snapToGrid w:val="0"/>
          <w:szCs w:val="24"/>
        </w:rPr>
        <w:t>% of franchising’s turnover being concentrated in only seven Member States</w:t>
      </w:r>
      <w:r w:rsidR="00F94F13" w:rsidRPr="003456ED">
        <w:rPr>
          <w:rStyle w:val="FootnoteReference"/>
          <w:snapToGrid w:val="0"/>
          <w:szCs w:val="24"/>
        </w:rPr>
        <w:footnoteReference w:id="6"/>
      </w:r>
      <w:r w:rsidR="00F94F13" w:rsidRPr="003456ED">
        <w:rPr>
          <w:snapToGrid w:val="0"/>
          <w:szCs w:val="24"/>
        </w:rPr>
        <w:t xml:space="preserve">, which is why it is important to encourage a wider </w:t>
      </w:r>
      <w:r w:rsidR="00B13C43" w:rsidRPr="003456ED">
        <w:rPr>
          <w:snapToGrid w:val="0"/>
          <w:szCs w:val="24"/>
        </w:rPr>
        <w:t>dissemination</w:t>
      </w:r>
      <w:r w:rsidR="00F94F13" w:rsidRPr="003456ED">
        <w:rPr>
          <w:snapToGrid w:val="0"/>
          <w:szCs w:val="24"/>
        </w:rPr>
        <w:t xml:space="preserve"> of this business model throughout the EU;</w:t>
      </w:r>
    </w:p>
    <w:p w14:paraId="71EEDFDB" w14:textId="77777777" w:rsidR="00F94F13" w:rsidRPr="003456ED" w:rsidRDefault="00A24B81" w:rsidP="00DE085A">
      <w:pPr>
        <w:pStyle w:val="Normal12Hanging"/>
        <w:rPr>
          <w:snapToGrid w:val="0"/>
          <w:szCs w:val="24"/>
        </w:rPr>
      </w:pPr>
      <w:r w:rsidRPr="003456ED">
        <w:rPr>
          <w:snapToGrid w:val="0"/>
          <w:szCs w:val="24"/>
        </w:rPr>
        <w:t>D.</w:t>
      </w:r>
      <w:r w:rsidRPr="003456ED">
        <w:rPr>
          <w:snapToGrid w:val="0"/>
          <w:szCs w:val="24"/>
        </w:rPr>
        <w:tab/>
      </w:r>
      <w:r w:rsidR="00F94F13" w:rsidRPr="003456ED">
        <w:rPr>
          <w:snapToGrid w:val="0"/>
          <w:szCs w:val="24"/>
        </w:rPr>
        <w:t xml:space="preserve">whereas franchising has a significant potential cross-border dimension, is of importance for the functioning of the internal market and can </w:t>
      </w:r>
      <w:r w:rsidR="00B13C43" w:rsidRPr="003456ED">
        <w:rPr>
          <w:snapToGrid w:val="0"/>
          <w:szCs w:val="24"/>
        </w:rPr>
        <w:t xml:space="preserve">thus </w:t>
      </w:r>
      <w:r w:rsidR="00F94F13" w:rsidRPr="003456ED">
        <w:rPr>
          <w:snapToGrid w:val="0"/>
          <w:szCs w:val="24"/>
        </w:rPr>
        <w:t>lead to job creation, SME and entrepreneurship development as well as the acquisition of new capabilities and skills;</w:t>
      </w:r>
    </w:p>
    <w:p w14:paraId="740EB823" w14:textId="77777777" w:rsidR="00A24B81" w:rsidRPr="003456ED" w:rsidRDefault="00D16600" w:rsidP="00DE085A">
      <w:pPr>
        <w:pStyle w:val="Normal12Hanging"/>
        <w:rPr>
          <w:snapToGrid w:val="0"/>
          <w:szCs w:val="24"/>
        </w:rPr>
      </w:pPr>
      <w:r w:rsidRPr="003456ED">
        <w:rPr>
          <w:snapToGrid w:val="0"/>
          <w:szCs w:val="24"/>
        </w:rPr>
        <w:t>E.</w:t>
      </w:r>
      <w:r w:rsidRPr="003456ED">
        <w:rPr>
          <w:snapToGrid w:val="0"/>
          <w:szCs w:val="24"/>
        </w:rPr>
        <w:tab/>
      </w:r>
      <w:r w:rsidR="00F94F13" w:rsidRPr="003456ED">
        <w:rPr>
          <w:snapToGrid w:val="0"/>
          <w:szCs w:val="24"/>
        </w:rPr>
        <w:t>whereas existing legislation covering franchising as a business model varies widely between Member States, which creates technical barriers and may discourage both franchisors and franchisees from expanding their activities across borders; whereas this, in turn, can have an impact on final consumers by limiting their choice;</w:t>
      </w:r>
    </w:p>
    <w:p w14:paraId="73BAFFFC" w14:textId="77777777" w:rsidR="00202C8B" w:rsidRPr="003456ED" w:rsidRDefault="00202C8B" w:rsidP="00DE085A">
      <w:pPr>
        <w:pStyle w:val="Normal12Hanging"/>
      </w:pPr>
      <w:r w:rsidRPr="003456ED">
        <w:t>F.</w:t>
      </w:r>
      <w:r w:rsidRPr="003456ED">
        <w:tab/>
        <w:t>whereas there are differences between ‘hard’ and ‘soft’ franchising, depending on the conditions of the franchising agreement; and, moreover, alternative business models such as ‘groups of independent retailers’ have special characteristics and should only be affected by rules governing franchising, insofar as they meet the definition of franchising;</w:t>
      </w:r>
    </w:p>
    <w:p w14:paraId="67FB6EB1" w14:textId="77777777" w:rsidR="00B3050F" w:rsidRPr="003456ED" w:rsidRDefault="00D16600" w:rsidP="00DE085A">
      <w:pPr>
        <w:pStyle w:val="Normal12Hanging"/>
      </w:pPr>
      <w:r w:rsidRPr="003456ED">
        <w:t>G</w:t>
      </w:r>
      <w:r w:rsidR="00B3050F" w:rsidRPr="003456ED">
        <w:t>.</w:t>
      </w:r>
      <w:r w:rsidR="00B3050F" w:rsidRPr="003456ED">
        <w:tab/>
        <w:t xml:space="preserve">whereas there is a lack of information on the functioning of franchising across sectors, since relevant information is not written down or can often only be found in the side letters accompanying a franchise agreement, which are confidential, therefore not public, and at EU-level there is no mechanism for collecting information on potentially unfair contract terms or unfair implementation of contracts, which is why a platform containing this important information is needed in order to </w:t>
      </w:r>
      <w:r w:rsidR="00B13C43" w:rsidRPr="003456ED">
        <w:t xml:space="preserve">improve awareness among </w:t>
      </w:r>
      <w:r w:rsidR="00B3050F" w:rsidRPr="003456ED">
        <w:t>franchisors and franchisees of their duties and their rights;</w:t>
      </w:r>
    </w:p>
    <w:p w14:paraId="33D257CA" w14:textId="77777777" w:rsidR="00B3050F" w:rsidRPr="003456ED" w:rsidRDefault="00D16600" w:rsidP="00486111">
      <w:pPr>
        <w:spacing w:after="240"/>
        <w:ind w:left="567" w:hanging="567"/>
      </w:pPr>
      <w:r w:rsidRPr="003456ED">
        <w:rPr>
          <w:snapToGrid w:val="0"/>
        </w:rPr>
        <w:t>H</w:t>
      </w:r>
      <w:r w:rsidR="00A24B81" w:rsidRPr="003456ED">
        <w:rPr>
          <w:snapToGrid w:val="0"/>
        </w:rPr>
        <w:t>.</w:t>
      </w:r>
      <w:r w:rsidR="00A24B81" w:rsidRPr="003456ED">
        <w:rPr>
          <w:snapToGrid w:val="0"/>
        </w:rPr>
        <w:tab/>
      </w:r>
      <w:r w:rsidR="00F94F13" w:rsidRPr="003456ED">
        <w:rPr>
          <w:snapToGrid w:val="0"/>
        </w:rPr>
        <w:t>whereas e-commerce is expanding and is being used more and more by consumers and should therefore be better reflected in franchise agreements; whereas, in the context of the realisation of the digital single market specific attention should therefore be paid to any tensions arising between franchisors and franchisees with respect to e-commerce, for example</w:t>
      </w:r>
      <w:r w:rsidR="00B13C43" w:rsidRPr="003456ED">
        <w:rPr>
          <w:snapToGrid w:val="0"/>
        </w:rPr>
        <w:t>,</w:t>
      </w:r>
      <w:r w:rsidR="00F94F13" w:rsidRPr="003456ED">
        <w:rPr>
          <w:snapToGrid w:val="0"/>
        </w:rPr>
        <w:t xml:space="preserve"> in relation to the right of exclusivity of the franchisee for a specific geographical area, and the increasing relevance of consumer data for the success of franchising business models, particularly as franchise agreements currently do not contain provisions on these subjects, leaving scope for unnecessary uncertainty and conflicts;</w:t>
      </w:r>
    </w:p>
    <w:p w14:paraId="277EB1E8" w14:textId="77777777" w:rsidR="00B3050F" w:rsidRPr="003456ED" w:rsidRDefault="00D16600" w:rsidP="00DE085A">
      <w:pPr>
        <w:pStyle w:val="Normal12Hanging"/>
      </w:pPr>
      <w:r w:rsidRPr="003456ED">
        <w:t>I</w:t>
      </w:r>
      <w:r w:rsidR="00B3050F" w:rsidRPr="003456ED">
        <w:t>.</w:t>
      </w:r>
      <w:r w:rsidR="00B3050F" w:rsidRPr="003456ED">
        <w:tab/>
      </w:r>
      <w:r w:rsidRPr="003456ED">
        <w:t>w</w:t>
      </w:r>
      <w:r w:rsidR="00B3050F" w:rsidRPr="003456ED">
        <w:t xml:space="preserve">hereas the Commission has defined unfair trading practices as </w:t>
      </w:r>
      <w:r w:rsidR="00B13C43" w:rsidRPr="003456ED">
        <w:t>‘</w:t>
      </w:r>
      <w:r w:rsidR="00B3050F" w:rsidRPr="003456ED">
        <w:t xml:space="preserve">practices that </w:t>
      </w:r>
      <w:r w:rsidR="00B13C43" w:rsidRPr="003456ED">
        <w:t xml:space="preserve">grossly </w:t>
      </w:r>
      <w:r w:rsidR="00B3050F" w:rsidRPr="003456ED">
        <w:t>deviate from good commercial conduct, are contrary to good faith and fair dealing and are unilaterally imposed by one trading partner on another</w:t>
      </w:r>
      <w:r w:rsidR="00B13C43" w:rsidRPr="003456ED">
        <w:t>’</w:t>
      </w:r>
      <w:r w:rsidR="00B3050F" w:rsidRPr="003456ED">
        <w:rPr>
          <w:rStyle w:val="SupBoldItalic"/>
        </w:rPr>
        <w:footnoteReference w:id="7"/>
      </w:r>
      <w:r w:rsidR="00B3050F" w:rsidRPr="003456ED">
        <w:t>;</w:t>
      </w:r>
    </w:p>
    <w:p w14:paraId="427BDCBC" w14:textId="77777777" w:rsidR="00F94F13" w:rsidRPr="003456ED" w:rsidRDefault="00100069" w:rsidP="00DE085A">
      <w:pPr>
        <w:pStyle w:val="Normal12Hanging"/>
        <w:rPr>
          <w:snapToGrid w:val="0"/>
          <w:szCs w:val="24"/>
        </w:rPr>
      </w:pPr>
      <w:r w:rsidRPr="003456ED">
        <w:t>1.</w:t>
      </w:r>
      <w:r w:rsidRPr="003456ED">
        <w:tab/>
      </w:r>
      <w:r w:rsidR="00F94F13" w:rsidRPr="003456ED">
        <w:rPr>
          <w:snapToGrid w:val="0"/>
          <w:szCs w:val="24"/>
        </w:rPr>
        <w:t>Considers that, given its current under-utilisation in the EU in comparison to other developed economies, for the completion of the single market in the retail sector, franchising can play an even more important role;</w:t>
      </w:r>
    </w:p>
    <w:p w14:paraId="24CFEEC4" w14:textId="77777777" w:rsidR="00A24B81" w:rsidRPr="003456ED" w:rsidRDefault="00D16600" w:rsidP="00DE085A">
      <w:pPr>
        <w:pStyle w:val="Normal12Hanging"/>
      </w:pPr>
      <w:r w:rsidRPr="003456ED">
        <w:rPr>
          <w:snapToGrid w:val="0"/>
          <w:szCs w:val="24"/>
        </w:rPr>
        <w:t>2.</w:t>
      </w:r>
      <w:r w:rsidRPr="003456ED">
        <w:rPr>
          <w:snapToGrid w:val="0"/>
          <w:szCs w:val="24"/>
        </w:rPr>
        <w:tab/>
      </w:r>
      <w:r w:rsidR="00F94F13" w:rsidRPr="003456ED">
        <w:rPr>
          <w:snapToGrid w:val="0"/>
          <w:szCs w:val="24"/>
        </w:rPr>
        <w:t xml:space="preserve">Considers it important that </w:t>
      </w:r>
      <w:r w:rsidR="00B13C43" w:rsidRPr="003456ED">
        <w:rPr>
          <w:snapToGrid w:val="0"/>
          <w:szCs w:val="24"/>
        </w:rPr>
        <w:t xml:space="preserve">the </w:t>
      </w:r>
      <w:r w:rsidR="00F94F13" w:rsidRPr="003456ED">
        <w:rPr>
          <w:snapToGrid w:val="0"/>
          <w:szCs w:val="24"/>
        </w:rPr>
        <w:t>Member States apply effective measures against any unfair trading practices in the field of franchising, but notes that there is still a high degree of divergence and diversification between Member States in this respect; considers it important</w:t>
      </w:r>
      <w:r w:rsidR="00B13C43" w:rsidRPr="003456ED">
        <w:rPr>
          <w:snapToGrid w:val="0"/>
          <w:szCs w:val="24"/>
        </w:rPr>
        <w:t>, therefore,</w:t>
      </w:r>
      <w:r w:rsidR="00F94F13" w:rsidRPr="003456ED">
        <w:rPr>
          <w:snapToGrid w:val="0"/>
          <w:szCs w:val="24"/>
        </w:rPr>
        <w:t xml:space="preserve"> that non-legislative homogeneous guidelines</w:t>
      </w:r>
      <w:r w:rsidR="006C73B8" w:rsidRPr="003456ED">
        <w:rPr>
          <w:snapToGrid w:val="0"/>
          <w:szCs w:val="24"/>
        </w:rPr>
        <w:t>,</w:t>
      </w:r>
      <w:r w:rsidR="00F94F13" w:rsidRPr="003456ED">
        <w:rPr>
          <w:snapToGrid w:val="0"/>
          <w:szCs w:val="24"/>
        </w:rPr>
        <w:t xml:space="preserve"> reflecting best practices</w:t>
      </w:r>
      <w:r w:rsidR="006C73B8" w:rsidRPr="003456ED">
        <w:rPr>
          <w:snapToGrid w:val="0"/>
          <w:szCs w:val="24"/>
        </w:rPr>
        <w:t>,</w:t>
      </w:r>
      <w:r w:rsidR="00F94F13" w:rsidRPr="003456ED">
        <w:rPr>
          <w:snapToGrid w:val="0"/>
          <w:szCs w:val="24"/>
        </w:rPr>
        <w:t xml:space="preserve"> on the functioning of franchising in the retail sector </w:t>
      </w:r>
      <w:r w:rsidR="00B13C43" w:rsidRPr="003456ED">
        <w:rPr>
          <w:snapToGrid w:val="0"/>
          <w:szCs w:val="24"/>
        </w:rPr>
        <w:t xml:space="preserve">be </w:t>
      </w:r>
      <w:r w:rsidR="00F94F13" w:rsidRPr="003456ED">
        <w:rPr>
          <w:snapToGrid w:val="0"/>
          <w:szCs w:val="24"/>
        </w:rPr>
        <w:t>put in place;</w:t>
      </w:r>
    </w:p>
    <w:p w14:paraId="5807A035" w14:textId="77777777" w:rsidR="00CE7711" w:rsidRPr="003456ED" w:rsidRDefault="00CE7711" w:rsidP="00CE7711">
      <w:pPr>
        <w:pStyle w:val="Hanging12"/>
        <w:tabs>
          <w:tab w:val="clear" w:pos="357"/>
          <w:tab w:val="left" w:pos="567"/>
        </w:tabs>
        <w:ind w:left="567" w:hanging="567"/>
      </w:pPr>
      <w:r w:rsidRPr="003456ED">
        <w:t>3.</w:t>
      </w:r>
      <w:r w:rsidRPr="003456ED">
        <w:tab/>
        <w:t xml:space="preserve">Calls on the Commission to introduce guidelines on franchising contracts, in order to better shape the normative environment of franchising contracts ensuring compliance with labour standards and decent and high-quality service; </w:t>
      </w:r>
    </w:p>
    <w:p w14:paraId="3799E446" w14:textId="77777777" w:rsidR="008660D6" w:rsidRPr="003456ED" w:rsidRDefault="00DE085A" w:rsidP="00DE085A">
      <w:pPr>
        <w:pStyle w:val="Normal12Hanging"/>
      </w:pPr>
      <w:r w:rsidRPr="003456ED">
        <w:t>4</w:t>
      </w:r>
      <w:r w:rsidR="008660D6" w:rsidRPr="003456ED">
        <w:t>.</w:t>
      </w:r>
      <w:r w:rsidR="008660D6" w:rsidRPr="003456ED">
        <w:tab/>
      </w:r>
      <w:r w:rsidR="00D16600" w:rsidRPr="003456ED">
        <w:t xml:space="preserve">Is of the view </w:t>
      </w:r>
      <w:r w:rsidR="008660D6" w:rsidRPr="003456ED">
        <w:t>that</w:t>
      </w:r>
      <w:r w:rsidR="00D16600" w:rsidRPr="003456ED">
        <w:t>,</w:t>
      </w:r>
      <w:r w:rsidR="008660D6" w:rsidRPr="003456ED">
        <w:t xml:space="preserve"> in view of the strong</w:t>
      </w:r>
      <w:r w:rsidR="00D16600" w:rsidRPr="003456ED">
        <w:t xml:space="preserve"> cross</w:t>
      </w:r>
      <w:r w:rsidR="008660D6" w:rsidRPr="003456ED">
        <w:t xml:space="preserve">-border </w:t>
      </w:r>
      <w:r w:rsidR="00D16600" w:rsidRPr="003456ED">
        <w:t xml:space="preserve">element of </w:t>
      </w:r>
      <w:r w:rsidR="008660D6" w:rsidRPr="003456ED">
        <w:t>franchising, a uniform approach to correct unfair trading practices at EU level is advisable;</w:t>
      </w:r>
    </w:p>
    <w:p w14:paraId="25D73529" w14:textId="77777777" w:rsidR="0038091A" w:rsidRPr="003456ED" w:rsidRDefault="00DE085A" w:rsidP="00DE085A">
      <w:pPr>
        <w:pStyle w:val="Normal12Hanging"/>
      </w:pPr>
      <w:r w:rsidRPr="003456ED">
        <w:t>5</w:t>
      </w:r>
      <w:r w:rsidR="0038091A" w:rsidRPr="003456ED">
        <w:t>.</w:t>
      </w:r>
      <w:r w:rsidR="0038091A" w:rsidRPr="003456ED">
        <w:tab/>
        <w:t xml:space="preserve">Acknowledges that, on a national level, legislation has been enacted to protect franchisees, but the focus </w:t>
      </w:r>
      <w:r w:rsidR="008E389F" w:rsidRPr="003456ED">
        <w:t xml:space="preserve">has been </w:t>
      </w:r>
      <w:r w:rsidR="0038091A" w:rsidRPr="003456ED">
        <w:t xml:space="preserve">on the pre-contractual stage, to impose disclosure obligations on the franchisor; regrets that national systems have not provided for enforcement mechanisms which are efficient in ensuring </w:t>
      </w:r>
      <w:r w:rsidR="008E389F" w:rsidRPr="003456ED">
        <w:t xml:space="preserve">the </w:t>
      </w:r>
      <w:r w:rsidR="0038091A" w:rsidRPr="003456ED">
        <w:t>continuation of the franchise relationship;</w:t>
      </w:r>
    </w:p>
    <w:p w14:paraId="4C1F36AB" w14:textId="77777777" w:rsidR="00A24B81" w:rsidRPr="003456ED" w:rsidRDefault="00DE085A" w:rsidP="00DE085A">
      <w:pPr>
        <w:pStyle w:val="Normal12Hanging"/>
        <w:rPr>
          <w:snapToGrid w:val="0"/>
          <w:szCs w:val="24"/>
        </w:rPr>
      </w:pPr>
      <w:r w:rsidRPr="003456ED">
        <w:t>6</w:t>
      </w:r>
      <w:r w:rsidR="00A24B81" w:rsidRPr="003456ED">
        <w:t>.</w:t>
      </w:r>
      <w:r w:rsidR="00A24B81" w:rsidRPr="003456ED">
        <w:tab/>
      </w:r>
      <w:r w:rsidR="00F94F13" w:rsidRPr="003456ED">
        <w:rPr>
          <w:snapToGrid w:val="0"/>
          <w:szCs w:val="24"/>
        </w:rPr>
        <w:t xml:space="preserve">Notes that franchisees are often the weaker contracting party, especially when they are SMEs, as the franchise formula has normally been developed by the franchisor and franchisees tend to be financially weaker and </w:t>
      </w:r>
      <w:r w:rsidR="008E389F" w:rsidRPr="003456ED">
        <w:rPr>
          <w:snapToGrid w:val="0"/>
          <w:szCs w:val="24"/>
        </w:rPr>
        <w:t xml:space="preserve">may </w:t>
      </w:r>
      <w:r w:rsidR="00F94F13" w:rsidRPr="003456ED">
        <w:rPr>
          <w:snapToGrid w:val="0"/>
          <w:szCs w:val="24"/>
        </w:rPr>
        <w:t>consequently be less well-informed than the franchisor and therefore dependent on the expertise of the franchisor; stresses the fact that franchise systems are heavily dependent upon the functioning co-operation of franchisor and franchisees, taking into consideration that the franchising system depends on good implementation by all parties;</w:t>
      </w:r>
    </w:p>
    <w:p w14:paraId="6481109E" w14:textId="77777777" w:rsidR="0038091A" w:rsidRPr="003456ED" w:rsidRDefault="00DE085A" w:rsidP="00DE085A">
      <w:pPr>
        <w:pStyle w:val="Normal12Hanging"/>
      </w:pPr>
      <w:r w:rsidRPr="003456ED">
        <w:t>7</w:t>
      </w:r>
      <w:r w:rsidR="0038091A" w:rsidRPr="003456ED">
        <w:t>.</w:t>
      </w:r>
      <w:r w:rsidR="0038091A" w:rsidRPr="003456ED">
        <w:tab/>
        <w:t>Recalls that franchising is a contractual relationship between two legally independent businesses;</w:t>
      </w:r>
    </w:p>
    <w:p w14:paraId="466756B7" w14:textId="77777777" w:rsidR="0038091A" w:rsidRPr="003456ED" w:rsidRDefault="00DE085A" w:rsidP="00DE085A">
      <w:pPr>
        <w:pStyle w:val="Hanging12"/>
        <w:tabs>
          <w:tab w:val="clear" w:pos="357"/>
          <w:tab w:val="left" w:pos="567"/>
        </w:tabs>
        <w:ind w:left="567" w:hanging="567"/>
      </w:pPr>
      <w:r w:rsidRPr="003456ED">
        <w:t>8</w:t>
      </w:r>
      <w:r w:rsidR="0038091A" w:rsidRPr="003456ED">
        <w:t>.</w:t>
      </w:r>
      <w:r w:rsidR="0038091A" w:rsidRPr="003456ED">
        <w:tab/>
        <w:t>Stresses that regulation should maintain and increase market confidence in franchising as a way of doing business</w:t>
      </w:r>
      <w:r w:rsidR="008E389F" w:rsidRPr="003456ED">
        <w:t>,</w:t>
      </w:r>
      <w:r w:rsidR="0038091A" w:rsidRPr="003456ED">
        <w:t xml:space="preserve"> as it encourages entrepreneurship not only in microenterprises and small and medium-sized enterprises that become franchisors, but also for individuals who become franchisees;</w:t>
      </w:r>
    </w:p>
    <w:p w14:paraId="057671BE" w14:textId="77777777" w:rsidR="00A24B81" w:rsidRPr="003456ED" w:rsidRDefault="00DE085A" w:rsidP="00DE085A">
      <w:pPr>
        <w:pStyle w:val="Normal12Hanging"/>
        <w:rPr>
          <w:snapToGrid w:val="0"/>
          <w:szCs w:val="24"/>
        </w:rPr>
      </w:pPr>
      <w:r w:rsidRPr="003456ED">
        <w:rPr>
          <w:snapToGrid w:val="0"/>
          <w:szCs w:val="24"/>
        </w:rPr>
        <w:t>9</w:t>
      </w:r>
      <w:r w:rsidR="00A24B81" w:rsidRPr="003456ED">
        <w:rPr>
          <w:snapToGrid w:val="0"/>
          <w:szCs w:val="24"/>
        </w:rPr>
        <w:t>.</w:t>
      </w:r>
      <w:r w:rsidR="00A24B81" w:rsidRPr="003456ED">
        <w:rPr>
          <w:snapToGrid w:val="0"/>
          <w:szCs w:val="24"/>
        </w:rPr>
        <w:tab/>
      </w:r>
      <w:r w:rsidR="00F94F13" w:rsidRPr="003456ED">
        <w:rPr>
          <w:snapToGrid w:val="0"/>
          <w:szCs w:val="24"/>
        </w:rPr>
        <w:t>States that franchisors have organised themselves both at national and European level for the representation of their interests, whereas franchisees often lack such representative organisations defending their collective interests, and continue to operate mostly on an individual basis;</w:t>
      </w:r>
    </w:p>
    <w:p w14:paraId="2BF62F89" w14:textId="77777777" w:rsidR="00A24B81" w:rsidRPr="003456ED" w:rsidRDefault="00DE085A" w:rsidP="00DE085A">
      <w:pPr>
        <w:pStyle w:val="Normal12Hanging"/>
        <w:rPr>
          <w:snapToGrid w:val="0"/>
          <w:szCs w:val="24"/>
        </w:rPr>
      </w:pPr>
      <w:r w:rsidRPr="003456ED">
        <w:rPr>
          <w:snapToGrid w:val="0"/>
          <w:szCs w:val="24"/>
        </w:rPr>
        <w:t>10</w:t>
      </w:r>
      <w:r w:rsidR="00A24B81" w:rsidRPr="003456ED">
        <w:rPr>
          <w:snapToGrid w:val="0"/>
          <w:szCs w:val="24"/>
        </w:rPr>
        <w:t>.</w:t>
      </w:r>
      <w:r w:rsidR="00A24B81" w:rsidRPr="003456ED">
        <w:rPr>
          <w:snapToGrid w:val="0"/>
          <w:szCs w:val="24"/>
        </w:rPr>
        <w:tab/>
      </w:r>
      <w:r w:rsidR="00F94F13" w:rsidRPr="003456ED">
        <w:rPr>
          <w:snapToGrid w:val="0"/>
          <w:szCs w:val="24"/>
        </w:rPr>
        <w:t xml:space="preserve">Calls on the Commission and Member States to encourage dialogue between franchisors, franchisees and decision-makers, to facilitate the creation of associations representing franchisees, and to make sure that their voices are heard, whenever policies or legislation are prepared that may affect them, in order to ensure more equal representation of the parties, while stressing that membership </w:t>
      </w:r>
      <w:r w:rsidR="008E389F" w:rsidRPr="003456ED">
        <w:rPr>
          <w:snapToGrid w:val="0"/>
          <w:szCs w:val="24"/>
        </w:rPr>
        <w:t xml:space="preserve">of </w:t>
      </w:r>
      <w:r w:rsidR="00F94F13" w:rsidRPr="003456ED">
        <w:rPr>
          <w:snapToGrid w:val="0"/>
          <w:szCs w:val="24"/>
        </w:rPr>
        <w:t>these organisations shall remain optional;</w:t>
      </w:r>
    </w:p>
    <w:p w14:paraId="1E8A6660" w14:textId="77777777" w:rsidR="00A24B81" w:rsidRPr="003456ED" w:rsidRDefault="00DE085A" w:rsidP="00DE085A">
      <w:pPr>
        <w:pStyle w:val="Normal12Hanging"/>
        <w:rPr>
          <w:snapToGrid w:val="0"/>
          <w:szCs w:val="24"/>
        </w:rPr>
      </w:pPr>
      <w:r w:rsidRPr="003456ED">
        <w:rPr>
          <w:snapToGrid w:val="0"/>
          <w:szCs w:val="24"/>
        </w:rPr>
        <w:t>11</w:t>
      </w:r>
      <w:r w:rsidR="00A24B81" w:rsidRPr="003456ED">
        <w:rPr>
          <w:snapToGrid w:val="0"/>
          <w:szCs w:val="24"/>
        </w:rPr>
        <w:t>.</w:t>
      </w:r>
      <w:r w:rsidR="00A24B81" w:rsidRPr="003456ED">
        <w:rPr>
          <w:snapToGrid w:val="0"/>
          <w:szCs w:val="24"/>
        </w:rPr>
        <w:tab/>
      </w:r>
      <w:r w:rsidR="00F94F13" w:rsidRPr="003456ED">
        <w:rPr>
          <w:snapToGrid w:val="0"/>
          <w:szCs w:val="24"/>
        </w:rPr>
        <w:t>Emphasises that there is a persistent lack of information on the functioning of franchising in the retail sector and calls on Member States to designate, in co-operation with the Commission, contact points for information on problems encountered by franchisors and franchisees, whenever available, and calls on the Commission to improve the collection of information at EU level, based, inter alia, on information from these contact points, whilst guaranteeing the confidentiality of the information thus acquired;</w:t>
      </w:r>
    </w:p>
    <w:p w14:paraId="3E862EEB" w14:textId="77777777" w:rsidR="008660D6" w:rsidRPr="003456ED" w:rsidRDefault="00DE085A" w:rsidP="00DE085A">
      <w:pPr>
        <w:pStyle w:val="Normal12Hanging"/>
      </w:pPr>
      <w:r w:rsidRPr="003456ED">
        <w:t>12</w:t>
      </w:r>
      <w:r w:rsidR="008660D6" w:rsidRPr="003456ED">
        <w:t>.</w:t>
      </w:r>
      <w:r w:rsidR="008660D6" w:rsidRPr="003456ED">
        <w:tab/>
        <w:t>Calls on the Commission to examine the functioning of franchising in the retail sector, including the existence of unfair contract terms or other unfair trading practices, and to request Eurostat to pay attention to this model when collecting statistical information on the sector, without any additional administrative or other burdens for entrepreneurs;</w:t>
      </w:r>
    </w:p>
    <w:p w14:paraId="3CC2B022" w14:textId="77777777" w:rsidR="00A24B81" w:rsidRPr="003456ED" w:rsidRDefault="00DE085A" w:rsidP="00DE085A">
      <w:pPr>
        <w:pStyle w:val="Normal12Hanging"/>
        <w:rPr>
          <w:snapToGrid w:val="0"/>
          <w:szCs w:val="24"/>
        </w:rPr>
      </w:pPr>
      <w:r w:rsidRPr="003456ED">
        <w:rPr>
          <w:snapToGrid w:val="0"/>
          <w:szCs w:val="24"/>
        </w:rPr>
        <w:t>13</w:t>
      </w:r>
      <w:r w:rsidR="00A24B81" w:rsidRPr="003456ED">
        <w:rPr>
          <w:snapToGrid w:val="0"/>
          <w:szCs w:val="24"/>
        </w:rPr>
        <w:t>.</w:t>
      </w:r>
      <w:r w:rsidR="00A24B81" w:rsidRPr="003456ED">
        <w:rPr>
          <w:snapToGrid w:val="0"/>
          <w:szCs w:val="24"/>
        </w:rPr>
        <w:tab/>
      </w:r>
      <w:r w:rsidR="00F94F13" w:rsidRPr="003456ED">
        <w:rPr>
          <w:snapToGrid w:val="0"/>
          <w:szCs w:val="24"/>
        </w:rPr>
        <w:t>Takes note of the European Code of Ethics for Franchising, developed by the European Franchise Federation</w:t>
      </w:r>
      <w:r w:rsidR="004624EB" w:rsidRPr="003456ED">
        <w:rPr>
          <w:snapToGrid w:val="0"/>
          <w:szCs w:val="24"/>
        </w:rPr>
        <w:t xml:space="preserve"> (EFF)</w:t>
      </w:r>
      <w:r w:rsidR="00F94F13" w:rsidRPr="003456ED">
        <w:rPr>
          <w:snapToGrid w:val="0"/>
          <w:szCs w:val="24"/>
        </w:rPr>
        <w:t>, as a potentially efficient tool for promoting best practices in the franchising sector on a self-regulatory basis, but also notes that the Code h</w:t>
      </w:r>
      <w:r w:rsidR="00D16600" w:rsidRPr="003456ED">
        <w:rPr>
          <w:snapToGrid w:val="0"/>
          <w:szCs w:val="24"/>
        </w:rPr>
        <w:t xml:space="preserve">as been subject to fundamental </w:t>
      </w:r>
      <w:r w:rsidR="00F94F13" w:rsidRPr="003456ED">
        <w:rPr>
          <w:snapToGrid w:val="0"/>
          <w:szCs w:val="24"/>
        </w:rPr>
        <w:t>criticism from franchisees pointing, inter alia, to the fact that the Code was worded more strongly in respect of the commitments of the franchisor prior to its revision in 2016; encourages franchisors and franchisees to ensure the balanced and fair representation of both sides in order to find an appropriate solution;</w:t>
      </w:r>
    </w:p>
    <w:p w14:paraId="13EBDC20" w14:textId="77777777" w:rsidR="008660D6" w:rsidRPr="003456ED" w:rsidRDefault="00DE085A" w:rsidP="00DE085A">
      <w:pPr>
        <w:pStyle w:val="Normal12Hanging"/>
      </w:pPr>
      <w:r w:rsidRPr="003456ED">
        <w:t>14</w:t>
      </w:r>
      <w:r w:rsidR="008660D6" w:rsidRPr="003456ED">
        <w:t>.</w:t>
      </w:r>
      <w:r w:rsidR="008660D6" w:rsidRPr="003456ED">
        <w:tab/>
        <w:t>Regrets, however, that the Code only covers a small minority of franchises operating in the EU, as the majority of franchises belong neither to the EFF nor the national associations that have adopted it, and several Member States do not have national franchise associations;</w:t>
      </w:r>
    </w:p>
    <w:p w14:paraId="5A686DF2" w14:textId="77777777" w:rsidR="008660D6" w:rsidRPr="003456ED" w:rsidRDefault="00DE085A" w:rsidP="00DE085A">
      <w:pPr>
        <w:pStyle w:val="Normal12Hanging"/>
      </w:pPr>
      <w:r w:rsidRPr="003456ED">
        <w:t>15</w:t>
      </w:r>
      <w:r w:rsidR="008660D6" w:rsidRPr="003456ED">
        <w:t>.</w:t>
      </w:r>
      <w:r w:rsidR="008660D6" w:rsidRPr="003456ED">
        <w:tab/>
        <w:t>Notes there are concerns about the lack of an independent enforcement mechanism accompanying the European Code of Ethics and notes that in some Member States this lack of independent enforcement prompted the introduction of legislation preventing and addressing unfair trading practices in franchising;</w:t>
      </w:r>
    </w:p>
    <w:p w14:paraId="734ED133" w14:textId="77777777" w:rsidR="008660D6" w:rsidRPr="003456ED" w:rsidRDefault="00DE085A" w:rsidP="00DE085A">
      <w:pPr>
        <w:pStyle w:val="Normal12Hanging"/>
      </w:pPr>
      <w:r w:rsidRPr="003456ED">
        <w:t>16</w:t>
      </w:r>
      <w:r w:rsidR="008660D6" w:rsidRPr="003456ED">
        <w:t>.</w:t>
      </w:r>
      <w:r w:rsidR="008660D6" w:rsidRPr="003456ED">
        <w:tab/>
        <w:t xml:space="preserve">Recalls that the Code of Ethics is a set of rules accepted by franchisors in addition to legally-required rules; </w:t>
      </w:r>
      <w:r w:rsidR="004624EB" w:rsidRPr="003456ED">
        <w:t xml:space="preserve">believes that </w:t>
      </w:r>
      <w:r w:rsidR="008660D6" w:rsidRPr="003456ED">
        <w:t>the Code of Ethics should always remain as added value for anyone willing to abide by these rules;</w:t>
      </w:r>
    </w:p>
    <w:p w14:paraId="31BC8E22" w14:textId="77777777" w:rsidR="00DE085A" w:rsidRPr="003456ED" w:rsidRDefault="00DE085A" w:rsidP="00DE085A">
      <w:pPr>
        <w:pStyle w:val="Hanging12"/>
        <w:tabs>
          <w:tab w:val="clear" w:pos="357"/>
        </w:tabs>
        <w:ind w:left="567" w:hanging="567"/>
      </w:pPr>
      <w:r w:rsidRPr="003456ED">
        <w:t>17.</w:t>
      </w:r>
      <w:r w:rsidRPr="003456ED">
        <w:tab/>
        <w:t>Considers the need to evaluate the effectiveness of the self-regulatory framework and the EU supply chain initiative, as membership of the national franchise organisations is a pre-requisite for participation in this initiative;</w:t>
      </w:r>
    </w:p>
    <w:p w14:paraId="29A58AE4" w14:textId="77777777" w:rsidR="008660D6" w:rsidRPr="003456ED" w:rsidRDefault="00DE085A" w:rsidP="00DE085A">
      <w:pPr>
        <w:pStyle w:val="Normal12Hanging"/>
      </w:pPr>
      <w:r w:rsidRPr="003456ED">
        <w:t>18</w:t>
      </w:r>
      <w:r w:rsidR="008660D6" w:rsidRPr="003456ED">
        <w:t>.</w:t>
      </w:r>
      <w:r w:rsidR="008660D6" w:rsidRPr="003456ED">
        <w:tab/>
        <w:t>States that franchise agreements should fully respect the principles of balanced partnership, under which the franchisor and franchisee must be reasonable and fair towards each other and resolve complaints, grievances and disputes through frank, transparent,</w:t>
      </w:r>
      <w:r w:rsidR="008660D6" w:rsidRPr="003456ED">
        <w:rPr>
          <w:b/>
          <w:i/>
        </w:rPr>
        <w:t xml:space="preserve"> </w:t>
      </w:r>
      <w:r w:rsidR="008660D6" w:rsidRPr="003456ED">
        <w:t>reasonable and direct communication;</w:t>
      </w:r>
    </w:p>
    <w:p w14:paraId="4ECE0CD1" w14:textId="77777777" w:rsidR="00A24B81" w:rsidRPr="003456ED" w:rsidRDefault="00DE085A" w:rsidP="00DE085A">
      <w:pPr>
        <w:pStyle w:val="Normal12Hanging"/>
        <w:rPr>
          <w:snapToGrid w:val="0"/>
          <w:szCs w:val="24"/>
        </w:rPr>
      </w:pPr>
      <w:r w:rsidRPr="003456ED">
        <w:rPr>
          <w:snapToGrid w:val="0"/>
          <w:szCs w:val="24"/>
        </w:rPr>
        <w:t>19</w:t>
      </w:r>
      <w:r w:rsidR="00A24B81" w:rsidRPr="003456ED">
        <w:rPr>
          <w:snapToGrid w:val="0"/>
          <w:szCs w:val="24"/>
        </w:rPr>
        <w:t>.</w:t>
      </w:r>
      <w:r w:rsidR="00A24B81" w:rsidRPr="003456ED">
        <w:rPr>
          <w:snapToGrid w:val="0"/>
          <w:szCs w:val="24"/>
        </w:rPr>
        <w:tab/>
      </w:r>
      <w:r w:rsidR="00097757" w:rsidRPr="003456ED">
        <w:rPr>
          <w:snapToGrid w:val="0"/>
          <w:szCs w:val="24"/>
        </w:rPr>
        <w:t>Calls on the Member States to submit to the Commission complaints and other relevant information they receive through a contact point or otherwise; calls on the Commission to draw up, on the basis of that information, a non-exhaustive list of unfair trading practices which should be published and made accessible to all interested parties; calls</w:t>
      </w:r>
      <w:r w:rsidR="004624EB" w:rsidRPr="003456ED">
        <w:rPr>
          <w:snapToGrid w:val="0"/>
          <w:szCs w:val="24"/>
        </w:rPr>
        <w:t>, moreover,</w:t>
      </w:r>
      <w:r w:rsidR="00097757" w:rsidRPr="003456ED">
        <w:rPr>
          <w:snapToGrid w:val="0"/>
          <w:szCs w:val="24"/>
        </w:rPr>
        <w:t xml:space="preserve"> on the Commission to set up, if necessary, an expert platform in order to obtain further information about retail franchising practice and, in particular, about any types of unfair trading practice;</w:t>
      </w:r>
    </w:p>
    <w:p w14:paraId="51CE8C69" w14:textId="77777777" w:rsidR="00A24B81" w:rsidRPr="003456ED" w:rsidRDefault="00DE085A" w:rsidP="00DE085A">
      <w:pPr>
        <w:pStyle w:val="Normal12Hanging"/>
        <w:rPr>
          <w:snapToGrid w:val="0"/>
          <w:szCs w:val="24"/>
        </w:rPr>
      </w:pPr>
      <w:r w:rsidRPr="003456ED">
        <w:rPr>
          <w:snapToGrid w:val="0"/>
          <w:szCs w:val="24"/>
        </w:rPr>
        <w:t>20</w:t>
      </w:r>
      <w:r w:rsidR="00A24B81" w:rsidRPr="003456ED">
        <w:rPr>
          <w:snapToGrid w:val="0"/>
          <w:szCs w:val="24"/>
        </w:rPr>
        <w:t>.</w:t>
      </w:r>
      <w:r w:rsidR="00A24B81" w:rsidRPr="003456ED">
        <w:rPr>
          <w:snapToGrid w:val="0"/>
          <w:szCs w:val="24"/>
        </w:rPr>
        <w:tab/>
      </w:r>
      <w:r w:rsidR="00097757" w:rsidRPr="003456ED">
        <w:rPr>
          <w:snapToGrid w:val="0"/>
          <w:szCs w:val="24"/>
        </w:rPr>
        <w:t xml:space="preserve">Points, in particular, to the need for specific principles to ensure the balanced contractual rights and obligations of the parties, such as clear, correct and comprehensive pre-contractual information, including information on the franchise formula’s performance, both general and targeted towards the franchisee’s envisaged location, and clear limits concerning confidentiality requirements, to be available in writing and with sufficient notice prior to the signing of the agreement, and the introduction of a cooling-off period after signing the agreement, where appropriate; </w:t>
      </w:r>
      <w:r w:rsidR="00D16600" w:rsidRPr="003456ED">
        <w:rPr>
          <w:snapToGrid w:val="0"/>
          <w:szCs w:val="24"/>
        </w:rPr>
        <w:t>points</w:t>
      </w:r>
      <w:r w:rsidR="00944145" w:rsidRPr="003456ED">
        <w:rPr>
          <w:snapToGrid w:val="0"/>
          <w:szCs w:val="24"/>
        </w:rPr>
        <w:t>,</w:t>
      </w:r>
      <w:r w:rsidR="00D16600" w:rsidRPr="003456ED">
        <w:rPr>
          <w:snapToGrid w:val="0"/>
          <w:szCs w:val="24"/>
        </w:rPr>
        <w:t xml:space="preserve"> also</w:t>
      </w:r>
      <w:r w:rsidR="00944145" w:rsidRPr="003456ED">
        <w:rPr>
          <w:snapToGrid w:val="0"/>
          <w:szCs w:val="24"/>
        </w:rPr>
        <w:t>, to</w:t>
      </w:r>
      <w:r w:rsidR="00D16600" w:rsidRPr="003456ED">
        <w:rPr>
          <w:snapToGrid w:val="0"/>
          <w:szCs w:val="24"/>
        </w:rPr>
        <w:t xml:space="preserve"> the need for </w:t>
      </w:r>
      <w:r w:rsidR="00097757" w:rsidRPr="003456ED">
        <w:rPr>
          <w:snapToGrid w:val="0"/>
          <w:szCs w:val="24"/>
        </w:rPr>
        <w:t>continued commercial and technical assistance from the franchisor to the franchisee for the duration of the agreement, if needed;</w:t>
      </w:r>
    </w:p>
    <w:p w14:paraId="7BED73DA" w14:textId="77777777" w:rsidR="00A24B81" w:rsidRPr="003456ED" w:rsidRDefault="00DE085A" w:rsidP="00DE085A">
      <w:pPr>
        <w:pStyle w:val="Normal12Hanging"/>
        <w:rPr>
          <w:snapToGrid w:val="0"/>
          <w:szCs w:val="24"/>
        </w:rPr>
      </w:pPr>
      <w:r w:rsidRPr="003456ED">
        <w:rPr>
          <w:snapToGrid w:val="0"/>
          <w:szCs w:val="24"/>
        </w:rPr>
        <w:t>21</w:t>
      </w:r>
      <w:r w:rsidR="00A24B81" w:rsidRPr="003456ED">
        <w:rPr>
          <w:snapToGrid w:val="0"/>
          <w:szCs w:val="24"/>
        </w:rPr>
        <w:t>.</w:t>
      </w:r>
      <w:r w:rsidR="00A24B81" w:rsidRPr="003456ED">
        <w:rPr>
          <w:snapToGrid w:val="0"/>
          <w:szCs w:val="24"/>
        </w:rPr>
        <w:tab/>
      </w:r>
      <w:r w:rsidR="00097757" w:rsidRPr="003456ED">
        <w:rPr>
          <w:snapToGrid w:val="0"/>
          <w:szCs w:val="24"/>
        </w:rPr>
        <w:t xml:space="preserve">Emphasises the need for specialised initial training where necessary and appropriate guidance </w:t>
      </w:r>
      <w:r w:rsidR="004624EB" w:rsidRPr="003456ED">
        <w:rPr>
          <w:snapToGrid w:val="0"/>
          <w:szCs w:val="24"/>
        </w:rPr>
        <w:t xml:space="preserve">by </w:t>
      </w:r>
      <w:r w:rsidR="00097757" w:rsidRPr="003456ED">
        <w:rPr>
          <w:snapToGrid w:val="0"/>
          <w:szCs w:val="24"/>
        </w:rPr>
        <w:t xml:space="preserve">and information </w:t>
      </w:r>
      <w:r w:rsidR="004624EB" w:rsidRPr="003456ED">
        <w:rPr>
          <w:snapToGrid w:val="0"/>
          <w:szCs w:val="24"/>
        </w:rPr>
        <w:t xml:space="preserve">from </w:t>
      </w:r>
      <w:r w:rsidR="00097757" w:rsidRPr="003456ED">
        <w:rPr>
          <w:snapToGrid w:val="0"/>
          <w:szCs w:val="24"/>
        </w:rPr>
        <w:t>the franchisor for franchisees during the term of the agreement;</w:t>
      </w:r>
    </w:p>
    <w:p w14:paraId="5F827EFC" w14:textId="77777777" w:rsidR="00B3050F" w:rsidRPr="003456ED" w:rsidRDefault="00DE085A" w:rsidP="00DE085A">
      <w:pPr>
        <w:pStyle w:val="Normal12Hanging"/>
      </w:pPr>
      <w:r w:rsidRPr="003456ED">
        <w:t>22</w:t>
      </w:r>
      <w:r w:rsidR="00B3050F" w:rsidRPr="003456ED">
        <w:t>.</w:t>
      </w:r>
      <w:r w:rsidR="00B3050F" w:rsidRPr="003456ED">
        <w:tab/>
        <w:t>Recalls the obligation of franchisees to devote their best endeavours to the growth of the franchise business and to the maintenance of the common identity and reputation of the franchise network, and to this effect to collaborate loyally with all partners in the network and to respect the industrial and intellectual property rights involved in the franchise formula, as well as competition rules;</w:t>
      </w:r>
    </w:p>
    <w:p w14:paraId="2C4E6F14" w14:textId="77777777" w:rsidR="00A24B81" w:rsidRPr="003456ED" w:rsidRDefault="00DE085A" w:rsidP="00DE085A">
      <w:pPr>
        <w:pStyle w:val="Normal12Hanging"/>
        <w:rPr>
          <w:snapToGrid w:val="0"/>
          <w:szCs w:val="24"/>
        </w:rPr>
      </w:pPr>
      <w:r w:rsidRPr="003456ED">
        <w:rPr>
          <w:snapToGrid w:val="0"/>
          <w:szCs w:val="24"/>
        </w:rPr>
        <w:t>23</w:t>
      </w:r>
      <w:r w:rsidR="00A24B81" w:rsidRPr="003456ED">
        <w:rPr>
          <w:snapToGrid w:val="0"/>
          <w:szCs w:val="24"/>
        </w:rPr>
        <w:t>.</w:t>
      </w:r>
      <w:r w:rsidR="00A24B81" w:rsidRPr="003456ED">
        <w:rPr>
          <w:snapToGrid w:val="0"/>
          <w:szCs w:val="24"/>
        </w:rPr>
        <w:tab/>
        <w:t>Adds, however, that sometimes franchisors require franchisees to purchase products and services that are not related to the franchise formula</w:t>
      </w:r>
      <w:r w:rsidR="006064D7" w:rsidRPr="003456ED">
        <w:rPr>
          <w:snapToGrid w:val="0"/>
          <w:szCs w:val="24"/>
        </w:rPr>
        <w:t xml:space="preserve">; such a requirement </w:t>
      </w:r>
      <w:r w:rsidR="00A24B81" w:rsidRPr="003456ED">
        <w:rPr>
          <w:snapToGrid w:val="0"/>
          <w:szCs w:val="24"/>
        </w:rPr>
        <w:t>should not be seen as part of the obligation of franchisees relating to the maintenance and common identity and reputation of the franchise network, but can easily constitute an unfair trading practice;</w:t>
      </w:r>
    </w:p>
    <w:p w14:paraId="58080A76" w14:textId="77777777" w:rsidR="00A24B81" w:rsidRPr="003456ED" w:rsidRDefault="00DE085A" w:rsidP="00DE085A">
      <w:pPr>
        <w:pStyle w:val="Normal12Hanging"/>
        <w:rPr>
          <w:snapToGrid w:val="0"/>
          <w:szCs w:val="24"/>
        </w:rPr>
      </w:pPr>
      <w:r w:rsidRPr="003456ED">
        <w:rPr>
          <w:snapToGrid w:val="0"/>
          <w:szCs w:val="24"/>
        </w:rPr>
        <w:t>24</w:t>
      </w:r>
      <w:r w:rsidR="00A24B81" w:rsidRPr="003456ED">
        <w:rPr>
          <w:snapToGrid w:val="0"/>
          <w:szCs w:val="24"/>
        </w:rPr>
        <w:t>.</w:t>
      </w:r>
      <w:r w:rsidR="00A24B81" w:rsidRPr="003456ED">
        <w:rPr>
          <w:snapToGrid w:val="0"/>
          <w:szCs w:val="24"/>
        </w:rPr>
        <w:tab/>
        <w:t>Emphasises that non-competition clauses should be clearly formulated, reasonable and proportionate and should not apply for a longer duration than what is strictly necessary, considering, in particular, the potential need for franchisees to change their franchise formula, if their neighbourhood and therefore the demand for products or services changes;</w:t>
      </w:r>
    </w:p>
    <w:p w14:paraId="4786338C" w14:textId="77777777" w:rsidR="00A24B81" w:rsidRPr="003456ED" w:rsidRDefault="00DE085A" w:rsidP="00DE085A">
      <w:pPr>
        <w:pStyle w:val="Normal12Hanging"/>
        <w:rPr>
          <w:snapToGrid w:val="0"/>
          <w:szCs w:val="24"/>
        </w:rPr>
      </w:pPr>
      <w:r w:rsidRPr="003456ED">
        <w:rPr>
          <w:snapToGrid w:val="0"/>
          <w:szCs w:val="24"/>
        </w:rPr>
        <w:t>25</w:t>
      </w:r>
      <w:r w:rsidR="00A24B81" w:rsidRPr="003456ED">
        <w:rPr>
          <w:snapToGrid w:val="0"/>
          <w:szCs w:val="24"/>
        </w:rPr>
        <w:t>.</w:t>
      </w:r>
      <w:r w:rsidR="00A24B81" w:rsidRPr="003456ED">
        <w:rPr>
          <w:snapToGrid w:val="0"/>
          <w:szCs w:val="24"/>
        </w:rPr>
        <w:tab/>
      </w:r>
      <w:r w:rsidR="00097757" w:rsidRPr="003456ED">
        <w:rPr>
          <w:snapToGrid w:val="0"/>
          <w:szCs w:val="24"/>
        </w:rPr>
        <w:t xml:space="preserve">Notes the issues arising around online sales, as these constitute an increasingly important part of the franchise business model, but are not covered in traditional franchise agreements, which do not take into account the effect internet sales may have on the provisions set out in them; suggests, therefore, the inclusion of provisions relating to online sales in franchise agreements, where appropriate, in particular in those cases where the power of the franchisor and the franchisee is </w:t>
      </w:r>
      <w:r w:rsidR="004624EB" w:rsidRPr="003456ED">
        <w:rPr>
          <w:snapToGrid w:val="0"/>
          <w:szCs w:val="24"/>
        </w:rPr>
        <w:t>im</w:t>
      </w:r>
      <w:r w:rsidR="00097757" w:rsidRPr="003456ED">
        <w:rPr>
          <w:snapToGrid w:val="0"/>
          <w:szCs w:val="24"/>
        </w:rPr>
        <w:t>balanced, notably when the franchisee is an SME;</w:t>
      </w:r>
    </w:p>
    <w:p w14:paraId="0274642B" w14:textId="77777777" w:rsidR="00A24B81" w:rsidRPr="003456ED" w:rsidRDefault="00DE085A" w:rsidP="00DE085A">
      <w:pPr>
        <w:pStyle w:val="Normal12Hanging"/>
        <w:rPr>
          <w:snapToGrid w:val="0"/>
          <w:szCs w:val="24"/>
        </w:rPr>
      </w:pPr>
      <w:r w:rsidRPr="003456ED">
        <w:rPr>
          <w:snapToGrid w:val="0"/>
          <w:szCs w:val="24"/>
        </w:rPr>
        <w:t>26</w:t>
      </w:r>
      <w:r w:rsidR="00A24B81" w:rsidRPr="003456ED">
        <w:rPr>
          <w:snapToGrid w:val="0"/>
          <w:szCs w:val="24"/>
        </w:rPr>
        <w:t>.</w:t>
      </w:r>
      <w:r w:rsidR="00A24B81" w:rsidRPr="003456ED">
        <w:rPr>
          <w:snapToGrid w:val="0"/>
          <w:szCs w:val="24"/>
        </w:rPr>
        <w:tab/>
      </w:r>
      <w:r w:rsidR="00097757" w:rsidRPr="003456ED">
        <w:rPr>
          <w:snapToGrid w:val="0"/>
          <w:szCs w:val="24"/>
        </w:rPr>
        <w:t>Requests the Commission to open a public consultation in order to obtain unbiased information as to the real situation in franchising and to draft non-legislative guidelines</w:t>
      </w:r>
      <w:r w:rsidR="006C73B8" w:rsidRPr="003456ED">
        <w:rPr>
          <w:snapToGrid w:val="0"/>
          <w:szCs w:val="24"/>
        </w:rPr>
        <w:t>,</w:t>
      </w:r>
      <w:r w:rsidR="00097757" w:rsidRPr="003456ED">
        <w:rPr>
          <w:snapToGrid w:val="0"/>
          <w:szCs w:val="24"/>
        </w:rPr>
        <w:t xml:space="preserve"> reflecting best practices</w:t>
      </w:r>
      <w:r w:rsidR="006C73B8" w:rsidRPr="003456ED">
        <w:rPr>
          <w:snapToGrid w:val="0"/>
          <w:szCs w:val="24"/>
        </w:rPr>
        <w:t>,</w:t>
      </w:r>
      <w:r w:rsidR="00097757" w:rsidRPr="003456ED">
        <w:rPr>
          <w:snapToGrid w:val="0"/>
          <w:szCs w:val="24"/>
        </w:rPr>
        <w:t xml:space="preserve"> on the functioning of franchising in the retail sector, in particular in relation to the latest technological and market developments, such as internet sales, and to submit these to Parliament by January 2018 at the latest; invites the Commission in this respect to make an analysis of the existing self-regulatory instruments as well as of legislative practices of Member States in the field of franchising in the retail sector and to submit its findings to Parliament, including recommendations on how to further develop the franchising sector in the EU;</w:t>
      </w:r>
    </w:p>
    <w:p w14:paraId="46338516" w14:textId="77777777" w:rsidR="0038091A" w:rsidRPr="003456ED" w:rsidRDefault="00DE085A" w:rsidP="00DE085A">
      <w:pPr>
        <w:pStyle w:val="Hanging12"/>
        <w:tabs>
          <w:tab w:val="clear" w:pos="357"/>
        </w:tabs>
        <w:ind w:left="567" w:hanging="567"/>
      </w:pPr>
      <w:r w:rsidRPr="003456ED">
        <w:t>27</w:t>
      </w:r>
      <w:r w:rsidR="0038091A" w:rsidRPr="003456ED">
        <w:t>.</w:t>
      </w:r>
      <w:r w:rsidR="0038091A" w:rsidRPr="003456ED">
        <w:tab/>
        <w:t>Stresses that Parliament should be actively involved in all work on franchising in the retail sector, including when regulations and directives on franchising are adapted in order to achieve a more consistent and coherent regulatory framework;</w:t>
      </w:r>
    </w:p>
    <w:p w14:paraId="41857110" w14:textId="77777777" w:rsidR="0080319A" w:rsidRPr="003456ED" w:rsidRDefault="0080319A" w:rsidP="00DE085A">
      <w:pPr>
        <w:pStyle w:val="Normal12Hanging"/>
        <w:rPr>
          <w:b/>
          <w:i/>
          <w:snapToGrid w:val="0"/>
          <w:szCs w:val="24"/>
        </w:rPr>
      </w:pPr>
      <w:r w:rsidRPr="003456ED">
        <w:rPr>
          <w:b/>
          <w:i/>
          <w:snapToGrid w:val="0"/>
          <w:szCs w:val="24"/>
        </w:rPr>
        <w:t>Competition law</w:t>
      </w:r>
    </w:p>
    <w:p w14:paraId="374F5C03" w14:textId="77777777" w:rsidR="0080319A" w:rsidRPr="003456ED" w:rsidRDefault="00DE085A" w:rsidP="00DE085A">
      <w:pPr>
        <w:pStyle w:val="Hanging12"/>
        <w:tabs>
          <w:tab w:val="clear" w:pos="357"/>
          <w:tab w:val="left" w:pos="567"/>
        </w:tabs>
        <w:ind w:left="567" w:hanging="567"/>
      </w:pPr>
      <w:r w:rsidRPr="003456ED">
        <w:t>28</w:t>
      </w:r>
      <w:r w:rsidR="0080319A" w:rsidRPr="003456ED">
        <w:t>.</w:t>
      </w:r>
      <w:r w:rsidR="0080319A" w:rsidRPr="003456ED">
        <w:tab/>
        <w:t>Emphasises that Commission Regulation (EU) No 330/2010</w:t>
      </w:r>
      <w:r w:rsidR="006225CD" w:rsidRPr="003456ED">
        <w:t xml:space="preserve"> of 20 April 2010 on the application of Article 101(3) of the Treaty on the Functioning of the European Union to categories of vertical agreements and concerted practices</w:t>
      </w:r>
      <w:r w:rsidR="006225CD" w:rsidRPr="003456ED">
        <w:rPr>
          <w:rStyle w:val="FootnoteReference"/>
        </w:rPr>
        <w:footnoteReference w:id="8"/>
      </w:r>
      <w:r w:rsidR="0080319A" w:rsidRPr="003456ED">
        <w:t xml:space="preserve"> must be uniformly applied in the Member States and regrets the lack of information about its application; </w:t>
      </w:r>
    </w:p>
    <w:p w14:paraId="7A89B9D3" w14:textId="77777777" w:rsidR="0080319A" w:rsidRPr="003456ED" w:rsidRDefault="00DE085A" w:rsidP="00DE085A">
      <w:pPr>
        <w:pStyle w:val="Hanging12"/>
        <w:tabs>
          <w:tab w:val="clear" w:pos="357"/>
          <w:tab w:val="left" w:pos="567"/>
        </w:tabs>
        <w:ind w:left="567" w:hanging="567"/>
      </w:pPr>
      <w:r w:rsidRPr="003456ED">
        <w:t>29</w:t>
      </w:r>
      <w:r w:rsidR="0080319A" w:rsidRPr="003456ED">
        <w:t>.</w:t>
      </w:r>
      <w:r w:rsidR="0080319A" w:rsidRPr="003456ED">
        <w:tab/>
        <w:t xml:space="preserve">Considers that the Commission should check whether the effectiveness of that </w:t>
      </w:r>
      <w:r w:rsidR="0038091A" w:rsidRPr="003456ED">
        <w:t>R</w:t>
      </w:r>
      <w:r w:rsidR="0080319A" w:rsidRPr="003456ED">
        <w:t>egulation is not being undermined as a result of uneven application in the Member States and whether it is in line with recent market developments, in particular the exempted post-contractual clauses and purchasing conditions;</w:t>
      </w:r>
    </w:p>
    <w:p w14:paraId="10AAD296" w14:textId="77777777" w:rsidR="0080319A" w:rsidRPr="003456ED" w:rsidRDefault="00DE085A" w:rsidP="00DE085A">
      <w:pPr>
        <w:pStyle w:val="Hanging12"/>
        <w:tabs>
          <w:tab w:val="clear" w:pos="357"/>
          <w:tab w:val="left" w:pos="567"/>
        </w:tabs>
        <w:ind w:left="567" w:hanging="567"/>
      </w:pPr>
      <w:r w:rsidRPr="003456ED">
        <w:t>30</w:t>
      </w:r>
      <w:r w:rsidR="0080319A" w:rsidRPr="003456ED">
        <w:t>.</w:t>
      </w:r>
      <w:r w:rsidR="0080319A" w:rsidRPr="003456ED">
        <w:tab/>
        <w:t xml:space="preserve">Considers that the Commission should check to what extent application of the </w:t>
      </w:r>
      <w:r w:rsidR="0038091A" w:rsidRPr="003456ED">
        <w:t>R</w:t>
      </w:r>
      <w:r w:rsidR="0080319A" w:rsidRPr="003456ED">
        <w:t>egulation could be improved through a mechanism of assessment within the European network of competition authorities; stresses that inconsistent follow-up action by the Commission prevents cross-border retail activity and fails to create a level playing field within the single market;</w:t>
      </w:r>
    </w:p>
    <w:p w14:paraId="045D6C95" w14:textId="77777777" w:rsidR="0080319A" w:rsidRPr="003456ED" w:rsidRDefault="00DE085A" w:rsidP="00DE085A">
      <w:pPr>
        <w:pStyle w:val="Hanging12"/>
        <w:tabs>
          <w:tab w:val="clear" w:pos="357"/>
          <w:tab w:val="left" w:pos="567"/>
        </w:tabs>
        <w:ind w:left="567" w:hanging="567"/>
      </w:pPr>
      <w:r w:rsidRPr="003456ED">
        <w:t>31</w:t>
      </w:r>
      <w:r w:rsidR="0080319A" w:rsidRPr="003456ED">
        <w:t>.</w:t>
      </w:r>
      <w:r w:rsidR="0080319A" w:rsidRPr="003456ED">
        <w:tab/>
        <w:t xml:space="preserve">Believes that better implementation of the </w:t>
      </w:r>
      <w:r w:rsidR="0038091A" w:rsidRPr="003456ED">
        <w:t>R</w:t>
      </w:r>
      <w:r w:rsidR="0080319A" w:rsidRPr="003456ED">
        <w:t>egulation at national level would improve distribution, increase market access for other Member States’ businesses and eventually provide a better deal for end consumers;</w:t>
      </w:r>
    </w:p>
    <w:p w14:paraId="0F1B4A6D" w14:textId="77777777" w:rsidR="0080319A" w:rsidRPr="003456ED" w:rsidRDefault="00DE085A" w:rsidP="00DE085A">
      <w:pPr>
        <w:pStyle w:val="Hanging12"/>
        <w:tabs>
          <w:tab w:val="clear" w:pos="357"/>
          <w:tab w:val="left" w:pos="567"/>
        </w:tabs>
        <w:ind w:left="567" w:hanging="567"/>
      </w:pPr>
      <w:r w:rsidRPr="003456ED">
        <w:t>32</w:t>
      </w:r>
      <w:r w:rsidR="0080319A" w:rsidRPr="003456ED">
        <w:t>.</w:t>
      </w:r>
      <w:r w:rsidR="0080319A" w:rsidRPr="003456ED">
        <w:tab/>
        <w:t>Believes that the Commission should also analyse the unintended impact of competition law in each and every Member State;</w:t>
      </w:r>
    </w:p>
    <w:p w14:paraId="2502F737" w14:textId="77777777" w:rsidR="0080319A" w:rsidRPr="003456ED" w:rsidRDefault="00DE085A" w:rsidP="00DE085A">
      <w:pPr>
        <w:pStyle w:val="Hanging12"/>
        <w:tabs>
          <w:tab w:val="clear" w:pos="357"/>
        </w:tabs>
        <w:ind w:left="567" w:hanging="567"/>
      </w:pPr>
      <w:r w:rsidRPr="003456ED">
        <w:t>33</w:t>
      </w:r>
      <w:r w:rsidR="0080319A" w:rsidRPr="003456ED">
        <w:t>.</w:t>
      </w:r>
      <w:r w:rsidR="0080319A" w:rsidRPr="003456ED">
        <w:tab/>
        <w:t xml:space="preserve">Encourages the Commission to start public consultations and inform Parliament of the suitability of the model on which the future block exemption regulation </w:t>
      </w:r>
      <w:r w:rsidR="006225CD" w:rsidRPr="003456ED">
        <w:t xml:space="preserve">will be </w:t>
      </w:r>
      <w:r w:rsidR="0080319A" w:rsidRPr="003456ED">
        <w:t>based;</w:t>
      </w:r>
    </w:p>
    <w:p w14:paraId="7DD2B49F" w14:textId="77777777" w:rsidR="0080319A" w:rsidRPr="003456ED" w:rsidRDefault="00DE085A" w:rsidP="00DE085A">
      <w:pPr>
        <w:pStyle w:val="Hanging12"/>
        <w:tabs>
          <w:tab w:val="clear" w:pos="357"/>
          <w:tab w:val="left" w:pos="567"/>
        </w:tabs>
        <w:ind w:left="567" w:hanging="567"/>
      </w:pPr>
      <w:r w:rsidRPr="003456ED">
        <w:t>34</w:t>
      </w:r>
      <w:r w:rsidR="0080319A" w:rsidRPr="003456ED">
        <w:t>.</w:t>
      </w:r>
      <w:r w:rsidR="0080319A" w:rsidRPr="003456ED">
        <w:tab/>
        <w:t xml:space="preserve">Calls on the Commission </w:t>
      </w:r>
      <w:r w:rsidR="006225CD" w:rsidRPr="003456ED">
        <w:t xml:space="preserve">also </w:t>
      </w:r>
      <w:r w:rsidR="0080319A" w:rsidRPr="003456ED">
        <w:t>to ensure the recovery of any illegal state aid by means of tax advantages in the area of franchising and to show firmness in the conduct of ongoing inquiries; stresses, moreover, that the EU needs to have clearer legislation on tax rulings; calls on the Commission to rectify any infringement in the area of franchising with a view to ensuring fair competition across the single market;</w:t>
      </w:r>
    </w:p>
    <w:p w14:paraId="17682815" w14:textId="77777777" w:rsidR="00DE085A" w:rsidRPr="003456ED" w:rsidRDefault="00DE085A" w:rsidP="00486111">
      <w:pPr>
        <w:pStyle w:val="Hanging12"/>
        <w:tabs>
          <w:tab w:val="clear" w:pos="357"/>
          <w:tab w:val="left" w:pos="567"/>
        </w:tabs>
        <w:ind w:left="567" w:hanging="567"/>
      </w:pPr>
      <w:r w:rsidRPr="003456ED">
        <w:t>35.</w:t>
      </w:r>
      <w:r w:rsidRPr="003456ED">
        <w:tab/>
        <w:t xml:space="preserve">Calls on the Commission to correct market failures and ensure an effective fight against tax evasion and tax avoidance in the field of franchising; </w:t>
      </w:r>
    </w:p>
    <w:p w14:paraId="11D66BE6" w14:textId="77777777" w:rsidR="006B17A9" w:rsidRPr="003456ED" w:rsidRDefault="00DE085A" w:rsidP="00486111">
      <w:pPr>
        <w:pStyle w:val="Hanging12"/>
        <w:tabs>
          <w:tab w:val="clear" w:pos="357"/>
        </w:tabs>
        <w:ind w:left="567" w:hanging="567"/>
      </w:pPr>
      <w:r w:rsidRPr="003456ED">
        <w:t>36</w:t>
      </w:r>
      <w:r w:rsidR="006B17A9" w:rsidRPr="003456ED">
        <w:t>.</w:t>
      </w:r>
      <w:r w:rsidR="006B17A9" w:rsidRPr="003456ED">
        <w:tab/>
        <w:t xml:space="preserve">Calls on the Commission to check whether it is necessary to revise the </w:t>
      </w:r>
      <w:r w:rsidR="0038091A" w:rsidRPr="003456ED">
        <w:t>R</w:t>
      </w:r>
      <w:r w:rsidR="006B17A9" w:rsidRPr="003456ED">
        <w:t xml:space="preserve">egulation and, in that connection, to verify and inform Parliament as regards (1) the impact of the horizontal approach on the functioning of franchising; (2) whether the model of franchising adopted in the </w:t>
      </w:r>
      <w:r w:rsidR="0038091A" w:rsidRPr="003456ED">
        <w:t>R</w:t>
      </w:r>
      <w:r w:rsidR="006B17A9" w:rsidRPr="003456ED">
        <w:t xml:space="preserve">egulation reflects market reality; (3) to what extent the so-called ‘permitted vertical restraints’, i.e. the conditions under which the franchisees may purchase, sell or resell certain goods or services are proportionate and have a negative effect on the market and consumers; (4) what new challenges franchisors and franchisees have to face in the context of e-commerce and digitisation in general; </w:t>
      </w:r>
      <w:r w:rsidR="0038091A" w:rsidRPr="003456ED">
        <w:t xml:space="preserve">and </w:t>
      </w:r>
      <w:r w:rsidR="006B17A9" w:rsidRPr="003456ED">
        <w:t>(5) to collect market information in terms of new trends, market development</w:t>
      </w:r>
      <w:r w:rsidR="0038091A" w:rsidRPr="003456ED">
        <w:t>s</w:t>
      </w:r>
      <w:r w:rsidR="006B17A9" w:rsidRPr="003456ED">
        <w:t xml:space="preserve"> regarding network organisation and technological advances; </w:t>
      </w:r>
    </w:p>
    <w:p w14:paraId="69F607DB" w14:textId="77777777" w:rsidR="006B17A9" w:rsidRPr="003456ED" w:rsidRDefault="00DE085A" w:rsidP="00DE085A">
      <w:pPr>
        <w:pStyle w:val="Normal12Hanging"/>
      </w:pPr>
      <w:r w:rsidRPr="003456ED">
        <w:t>37</w:t>
      </w:r>
      <w:r w:rsidR="006B17A9" w:rsidRPr="003456ED">
        <w:t>.</w:t>
      </w:r>
      <w:r w:rsidR="006B17A9" w:rsidRPr="003456ED">
        <w:tab/>
      </w:r>
      <w:r w:rsidR="0038091A" w:rsidRPr="003456ED">
        <w:t>C</w:t>
      </w:r>
      <w:r w:rsidR="006B17A9" w:rsidRPr="003456ED">
        <w:t xml:space="preserve">alls on the Commission to revise the rules on the enforcement of the </w:t>
      </w:r>
      <w:r w:rsidR="0038091A" w:rsidRPr="003456ED">
        <w:t>R</w:t>
      </w:r>
      <w:r w:rsidR="006B17A9" w:rsidRPr="003456ED">
        <w:t xml:space="preserve">egulation by Member States, while its application should be proportionally adjusted to fulfil its aim; </w:t>
      </w:r>
    </w:p>
    <w:p w14:paraId="1E984A55" w14:textId="77777777" w:rsidR="006225CD" w:rsidRPr="003456ED" w:rsidRDefault="006225CD" w:rsidP="00486111">
      <w:pPr>
        <w:pStyle w:val="Normal12Hanging"/>
        <w:jc w:val="center"/>
        <w:rPr>
          <w:snapToGrid w:val="0"/>
          <w:szCs w:val="24"/>
        </w:rPr>
      </w:pPr>
      <w:r w:rsidRPr="003456ED">
        <w:rPr>
          <w:snapToGrid w:val="0"/>
          <w:szCs w:val="24"/>
        </w:rPr>
        <w:t>°</w:t>
      </w:r>
    </w:p>
    <w:p w14:paraId="53685653" w14:textId="77777777" w:rsidR="006225CD" w:rsidRPr="003456ED" w:rsidRDefault="006225CD" w:rsidP="00486111">
      <w:pPr>
        <w:pStyle w:val="Normal12Hanging"/>
        <w:jc w:val="center"/>
        <w:rPr>
          <w:snapToGrid w:val="0"/>
          <w:szCs w:val="24"/>
        </w:rPr>
      </w:pPr>
      <w:r w:rsidRPr="003456ED">
        <w:rPr>
          <w:snapToGrid w:val="0"/>
          <w:szCs w:val="24"/>
        </w:rPr>
        <w:t>°</w:t>
      </w:r>
      <w:r w:rsidRPr="003456ED">
        <w:rPr>
          <w:snapToGrid w:val="0"/>
          <w:szCs w:val="24"/>
        </w:rPr>
        <w:tab/>
        <w:t>°</w:t>
      </w:r>
    </w:p>
    <w:p w14:paraId="64C497E0" w14:textId="77777777" w:rsidR="00100069" w:rsidRPr="003456ED" w:rsidRDefault="00DE085A" w:rsidP="00DE085A">
      <w:pPr>
        <w:pStyle w:val="Normal12Hanging"/>
      </w:pPr>
      <w:r w:rsidRPr="003456ED">
        <w:t>38</w:t>
      </w:r>
      <w:r w:rsidR="008E68B1" w:rsidRPr="003456ED">
        <w:t>.</w:t>
      </w:r>
      <w:r w:rsidR="008E68B1" w:rsidRPr="003456ED">
        <w:tab/>
      </w:r>
      <w:r w:rsidR="008E68B1" w:rsidRPr="003456ED">
        <w:rPr>
          <w:snapToGrid w:val="0"/>
          <w:szCs w:val="24"/>
        </w:rPr>
        <w:t>Instructs</w:t>
      </w:r>
      <w:r w:rsidR="008E68B1" w:rsidRPr="003456ED">
        <w:t xml:space="preserve"> its President to forward this resolution to the Council and the Commission.</w:t>
      </w:r>
    </w:p>
    <w:p w14:paraId="65035187" w14:textId="77777777" w:rsidR="00100069" w:rsidRPr="003456ED" w:rsidRDefault="006D54A8" w:rsidP="006D54A8">
      <w:pPr>
        <w:pStyle w:val="PageHeading"/>
      </w:pPr>
      <w:r w:rsidRPr="003456ED">
        <w:br w:type="page"/>
      </w:r>
      <w:bookmarkStart w:id="2" w:name="_Toc482779348"/>
      <w:r w:rsidRPr="003456ED">
        <w:t>ANNEX: LIST OF ENTITIES OR PERSONS</w:t>
      </w:r>
      <w:r w:rsidRPr="003456ED">
        <w:br/>
        <w:t>FROM WHOM THE RAPPORTEUR HAS RECEIVED INPUT</w:t>
      </w:r>
      <w:bookmarkEnd w:id="2"/>
    </w:p>
    <w:p w14:paraId="4B5B8A20" w14:textId="77777777" w:rsidR="006D54A8" w:rsidRPr="003456ED" w:rsidRDefault="006D54A8" w:rsidP="006D54A8"/>
    <w:p w14:paraId="11CEBE8D" w14:textId="77777777" w:rsidR="006D54A8" w:rsidRPr="003456ED" w:rsidRDefault="006D54A8" w:rsidP="006D54A8">
      <w:pPr>
        <w:spacing w:before="9" w:line="360" w:lineRule="auto"/>
        <w:ind w:right="159"/>
        <w:rPr>
          <w:rFonts w:eastAsia="Calibri"/>
          <w:sz w:val="22"/>
          <w:szCs w:val="22"/>
          <w:lang w:bidi="en-GB"/>
        </w:rPr>
      </w:pPr>
      <w:r w:rsidRPr="003456ED">
        <w:rPr>
          <w:rFonts w:eastAsia="Calibri"/>
          <w:sz w:val="22"/>
          <w:szCs w:val="22"/>
          <w:lang w:bidi="en-GB"/>
        </w:rPr>
        <w:t>T</w:t>
      </w:r>
      <w:r w:rsidRPr="003456ED">
        <w:rPr>
          <w:rFonts w:eastAsia="Calibri"/>
          <w:spacing w:val="-1"/>
          <w:sz w:val="22"/>
          <w:szCs w:val="22"/>
          <w:lang w:bidi="en-GB"/>
        </w:rPr>
        <w:t>he following</w:t>
      </w:r>
      <w:r w:rsidRPr="003456ED">
        <w:rPr>
          <w:rFonts w:eastAsia="Calibri"/>
          <w:spacing w:val="1"/>
          <w:sz w:val="22"/>
          <w:szCs w:val="22"/>
          <w:lang w:bidi="en-GB"/>
        </w:rPr>
        <w:t xml:space="preserve"> </w:t>
      </w:r>
      <w:r w:rsidRPr="003456ED">
        <w:rPr>
          <w:rFonts w:eastAsia="Calibri"/>
          <w:sz w:val="22"/>
          <w:szCs w:val="22"/>
          <w:lang w:bidi="en-GB"/>
        </w:rPr>
        <w:t>list</w:t>
      </w:r>
      <w:r w:rsidRPr="003456ED">
        <w:rPr>
          <w:rFonts w:eastAsia="Calibri"/>
          <w:spacing w:val="2"/>
          <w:sz w:val="22"/>
          <w:szCs w:val="22"/>
          <w:lang w:bidi="en-GB"/>
        </w:rPr>
        <w:t xml:space="preserve"> </w:t>
      </w:r>
      <w:r w:rsidRPr="003456ED">
        <w:rPr>
          <w:rFonts w:eastAsia="Calibri"/>
          <w:sz w:val="22"/>
          <w:szCs w:val="22"/>
          <w:lang w:bidi="en-GB"/>
        </w:rPr>
        <w:t>is</w:t>
      </w:r>
      <w:r w:rsidRPr="003456ED">
        <w:rPr>
          <w:rFonts w:eastAsia="Calibri"/>
          <w:spacing w:val="-2"/>
          <w:sz w:val="22"/>
          <w:szCs w:val="22"/>
          <w:lang w:bidi="en-GB"/>
        </w:rPr>
        <w:t xml:space="preserve"> </w:t>
      </w:r>
      <w:r w:rsidRPr="003456ED">
        <w:rPr>
          <w:rFonts w:eastAsia="Calibri"/>
          <w:spacing w:val="-1"/>
          <w:sz w:val="22"/>
          <w:szCs w:val="22"/>
          <w:lang w:bidi="en-GB"/>
        </w:rPr>
        <w:t>d</w:t>
      </w:r>
      <w:r w:rsidRPr="003456ED">
        <w:rPr>
          <w:rFonts w:eastAsia="Calibri"/>
          <w:sz w:val="22"/>
          <w:szCs w:val="22"/>
          <w:lang w:bidi="en-GB"/>
        </w:rPr>
        <w:t xml:space="preserve">rawn </w:t>
      </w:r>
      <w:r w:rsidRPr="003456ED">
        <w:rPr>
          <w:rFonts w:eastAsia="Calibri"/>
          <w:spacing w:val="-1"/>
          <w:sz w:val="22"/>
          <w:szCs w:val="22"/>
          <w:lang w:bidi="en-GB"/>
        </w:rPr>
        <w:t>u</w:t>
      </w:r>
      <w:r w:rsidRPr="003456ED">
        <w:rPr>
          <w:rFonts w:eastAsia="Calibri"/>
          <w:sz w:val="22"/>
          <w:szCs w:val="22"/>
          <w:lang w:bidi="en-GB"/>
        </w:rPr>
        <w:t>p</w:t>
      </w:r>
      <w:r w:rsidRPr="003456ED">
        <w:rPr>
          <w:rFonts w:eastAsia="Calibri"/>
          <w:spacing w:val="-2"/>
          <w:sz w:val="22"/>
          <w:szCs w:val="22"/>
          <w:lang w:bidi="en-GB"/>
        </w:rPr>
        <w:t xml:space="preserve"> </w:t>
      </w:r>
      <w:r w:rsidRPr="003456ED">
        <w:rPr>
          <w:rFonts w:eastAsia="Calibri"/>
          <w:spacing w:val="1"/>
          <w:sz w:val="22"/>
          <w:szCs w:val="22"/>
          <w:lang w:bidi="en-GB"/>
        </w:rPr>
        <w:t>o</w:t>
      </w:r>
      <w:r w:rsidRPr="003456ED">
        <w:rPr>
          <w:rFonts w:eastAsia="Calibri"/>
          <w:sz w:val="22"/>
          <w:szCs w:val="22"/>
          <w:lang w:bidi="en-GB"/>
        </w:rPr>
        <w:t>n a</w:t>
      </w:r>
      <w:r w:rsidRPr="003456ED">
        <w:rPr>
          <w:rFonts w:eastAsia="Calibri"/>
          <w:spacing w:val="1"/>
          <w:sz w:val="22"/>
          <w:szCs w:val="22"/>
          <w:lang w:bidi="en-GB"/>
        </w:rPr>
        <w:t xml:space="preserve"> </w:t>
      </w:r>
      <w:r w:rsidRPr="003456ED">
        <w:rPr>
          <w:rFonts w:eastAsia="Calibri"/>
          <w:spacing w:val="-3"/>
          <w:sz w:val="22"/>
          <w:szCs w:val="22"/>
          <w:lang w:bidi="en-GB"/>
        </w:rPr>
        <w:t>p</w:t>
      </w:r>
      <w:r w:rsidRPr="003456ED">
        <w:rPr>
          <w:rFonts w:eastAsia="Calibri"/>
          <w:spacing w:val="-1"/>
          <w:sz w:val="22"/>
          <w:szCs w:val="22"/>
          <w:lang w:bidi="en-GB"/>
        </w:rPr>
        <w:t>u</w:t>
      </w:r>
      <w:r w:rsidRPr="003456ED">
        <w:rPr>
          <w:rFonts w:eastAsia="Calibri"/>
          <w:sz w:val="22"/>
          <w:szCs w:val="22"/>
          <w:lang w:bidi="en-GB"/>
        </w:rPr>
        <w:t>rely</w:t>
      </w:r>
      <w:r w:rsidRPr="003456ED">
        <w:rPr>
          <w:rFonts w:eastAsia="Calibri"/>
          <w:spacing w:val="-1"/>
          <w:sz w:val="22"/>
          <w:szCs w:val="22"/>
          <w:lang w:bidi="en-GB"/>
        </w:rPr>
        <w:t xml:space="preserve"> </w:t>
      </w:r>
      <w:r w:rsidRPr="003456ED">
        <w:rPr>
          <w:rFonts w:eastAsia="Calibri"/>
          <w:spacing w:val="1"/>
          <w:sz w:val="22"/>
          <w:szCs w:val="22"/>
          <w:lang w:bidi="en-GB"/>
        </w:rPr>
        <w:t>vo</w:t>
      </w:r>
      <w:r w:rsidRPr="003456ED">
        <w:rPr>
          <w:rFonts w:eastAsia="Calibri"/>
          <w:sz w:val="22"/>
          <w:szCs w:val="22"/>
          <w:lang w:bidi="en-GB"/>
        </w:rPr>
        <w:t>l</w:t>
      </w:r>
      <w:r w:rsidRPr="003456ED">
        <w:rPr>
          <w:rFonts w:eastAsia="Calibri"/>
          <w:spacing w:val="-1"/>
          <w:sz w:val="22"/>
          <w:szCs w:val="22"/>
          <w:lang w:bidi="en-GB"/>
        </w:rPr>
        <w:t>un</w:t>
      </w:r>
      <w:r w:rsidRPr="003456ED">
        <w:rPr>
          <w:rFonts w:eastAsia="Calibri"/>
          <w:sz w:val="22"/>
          <w:szCs w:val="22"/>
          <w:lang w:bidi="en-GB"/>
        </w:rPr>
        <w:t>ta</w:t>
      </w:r>
      <w:r w:rsidRPr="003456ED">
        <w:rPr>
          <w:rFonts w:eastAsia="Calibri"/>
          <w:spacing w:val="-2"/>
          <w:sz w:val="22"/>
          <w:szCs w:val="22"/>
          <w:lang w:bidi="en-GB"/>
        </w:rPr>
        <w:t>r</w:t>
      </w:r>
      <w:r w:rsidRPr="003456ED">
        <w:rPr>
          <w:rFonts w:eastAsia="Calibri"/>
          <w:sz w:val="22"/>
          <w:szCs w:val="22"/>
          <w:lang w:bidi="en-GB"/>
        </w:rPr>
        <w:t>y</w:t>
      </w:r>
      <w:r w:rsidRPr="003456ED">
        <w:rPr>
          <w:rFonts w:eastAsia="Calibri"/>
          <w:spacing w:val="1"/>
          <w:sz w:val="22"/>
          <w:szCs w:val="22"/>
          <w:lang w:bidi="en-GB"/>
        </w:rPr>
        <w:t xml:space="preserve"> </w:t>
      </w:r>
      <w:r w:rsidRPr="003456ED">
        <w:rPr>
          <w:rFonts w:eastAsia="Calibri"/>
          <w:spacing w:val="-1"/>
          <w:sz w:val="22"/>
          <w:szCs w:val="22"/>
          <w:lang w:bidi="en-GB"/>
        </w:rPr>
        <w:t>b</w:t>
      </w:r>
      <w:r w:rsidRPr="003456ED">
        <w:rPr>
          <w:rFonts w:eastAsia="Calibri"/>
          <w:sz w:val="22"/>
          <w:szCs w:val="22"/>
          <w:lang w:bidi="en-GB"/>
        </w:rPr>
        <w:t>asis</w:t>
      </w:r>
      <w:r w:rsidRPr="003456ED">
        <w:rPr>
          <w:rFonts w:eastAsia="Calibri"/>
          <w:spacing w:val="-2"/>
          <w:sz w:val="22"/>
          <w:szCs w:val="22"/>
          <w:lang w:bidi="en-GB"/>
        </w:rPr>
        <w:t xml:space="preserve"> </w:t>
      </w:r>
      <w:r w:rsidRPr="003456ED">
        <w:rPr>
          <w:rFonts w:eastAsia="Calibri"/>
          <w:spacing w:val="-1"/>
          <w:sz w:val="22"/>
          <w:szCs w:val="22"/>
          <w:lang w:bidi="en-GB"/>
        </w:rPr>
        <w:t>und</w:t>
      </w:r>
      <w:r w:rsidRPr="003456ED">
        <w:rPr>
          <w:rFonts w:eastAsia="Calibri"/>
          <w:sz w:val="22"/>
          <w:szCs w:val="22"/>
          <w:lang w:bidi="en-GB"/>
        </w:rPr>
        <w:t>er</w:t>
      </w:r>
      <w:r w:rsidRPr="003456ED">
        <w:rPr>
          <w:rFonts w:eastAsia="Calibri"/>
          <w:spacing w:val="1"/>
          <w:sz w:val="22"/>
          <w:szCs w:val="22"/>
          <w:lang w:bidi="en-GB"/>
        </w:rPr>
        <w:t xml:space="preserve"> </w:t>
      </w:r>
      <w:r w:rsidRPr="003456ED">
        <w:rPr>
          <w:rFonts w:eastAsia="Calibri"/>
          <w:sz w:val="22"/>
          <w:szCs w:val="22"/>
          <w:lang w:bidi="en-GB"/>
        </w:rPr>
        <w:t>t</w:t>
      </w:r>
      <w:r w:rsidRPr="003456ED">
        <w:rPr>
          <w:rFonts w:eastAsia="Calibri"/>
          <w:spacing w:val="-1"/>
          <w:sz w:val="22"/>
          <w:szCs w:val="22"/>
          <w:lang w:bidi="en-GB"/>
        </w:rPr>
        <w:t>h</w:t>
      </w:r>
      <w:r w:rsidRPr="003456ED">
        <w:rPr>
          <w:rFonts w:eastAsia="Calibri"/>
          <w:sz w:val="22"/>
          <w:szCs w:val="22"/>
          <w:lang w:bidi="en-GB"/>
        </w:rPr>
        <w:t>e</w:t>
      </w:r>
      <w:r w:rsidRPr="003456ED">
        <w:rPr>
          <w:rFonts w:eastAsia="Calibri"/>
          <w:spacing w:val="1"/>
          <w:sz w:val="22"/>
          <w:szCs w:val="22"/>
          <w:lang w:bidi="en-GB"/>
        </w:rPr>
        <w:t xml:space="preserve"> </w:t>
      </w:r>
      <w:r w:rsidRPr="003456ED">
        <w:rPr>
          <w:rFonts w:eastAsia="Calibri"/>
          <w:spacing w:val="-2"/>
          <w:sz w:val="22"/>
          <w:szCs w:val="22"/>
          <w:lang w:bidi="en-GB"/>
        </w:rPr>
        <w:t>e</w:t>
      </w:r>
      <w:r w:rsidRPr="003456ED">
        <w:rPr>
          <w:rFonts w:eastAsia="Calibri"/>
          <w:sz w:val="22"/>
          <w:szCs w:val="22"/>
          <w:lang w:bidi="en-GB"/>
        </w:rPr>
        <w:t>xcl</w:t>
      </w:r>
      <w:r w:rsidRPr="003456ED">
        <w:rPr>
          <w:rFonts w:eastAsia="Calibri"/>
          <w:spacing w:val="-1"/>
          <w:sz w:val="22"/>
          <w:szCs w:val="22"/>
          <w:lang w:bidi="en-GB"/>
        </w:rPr>
        <w:t>u</w:t>
      </w:r>
      <w:r w:rsidRPr="003456ED">
        <w:rPr>
          <w:rFonts w:eastAsia="Calibri"/>
          <w:sz w:val="22"/>
          <w:szCs w:val="22"/>
          <w:lang w:bidi="en-GB"/>
        </w:rPr>
        <w:t>si</w:t>
      </w:r>
      <w:r w:rsidRPr="003456ED">
        <w:rPr>
          <w:rFonts w:eastAsia="Calibri"/>
          <w:spacing w:val="-1"/>
          <w:sz w:val="22"/>
          <w:szCs w:val="22"/>
          <w:lang w:bidi="en-GB"/>
        </w:rPr>
        <w:t>v</w:t>
      </w:r>
      <w:r w:rsidRPr="003456ED">
        <w:rPr>
          <w:rFonts w:eastAsia="Calibri"/>
          <w:sz w:val="22"/>
          <w:szCs w:val="22"/>
          <w:lang w:bidi="en-GB"/>
        </w:rPr>
        <w:t>e</w:t>
      </w:r>
      <w:r w:rsidRPr="003456ED">
        <w:rPr>
          <w:rFonts w:eastAsia="Calibri"/>
          <w:spacing w:val="1"/>
          <w:sz w:val="22"/>
          <w:szCs w:val="22"/>
          <w:lang w:bidi="en-GB"/>
        </w:rPr>
        <w:t xml:space="preserve"> </w:t>
      </w:r>
      <w:r w:rsidRPr="003456ED">
        <w:rPr>
          <w:rFonts w:eastAsia="Calibri"/>
          <w:spacing w:val="-2"/>
          <w:sz w:val="22"/>
          <w:szCs w:val="22"/>
          <w:lang w:bidi="en-GB"/>
        </w:rPr>
        <w:t>r</w:t>
      </w:r>
      <w:r w:rsidRPr="003456ED">
        <w:rPr>
          <w:rFonts w:eastAsia="Calibri"/>
          <w:sz w:val="22"/>
          <w:szCs w:val="22"/>
          <w:lang w:bidi="en-GB"/>
        </w:rPr>
        <w:t>es</w:t>
      </w:r>
      <w:r w:rsidRPr="003456ED">
        <w:rPr>
          <w:rFonts w:eastAsia="Calibri"/>
          <w:spacing w:val="-1"/>
          <w:sz w:val="22"/>
          <w:szCs w:val="22"/>
          <w:lang w:bidi="en-GB"/>
        </w:rPr>
        <w:t>p</w:t>
      </w:r>
      <w:r w:rsidRPr="003456ED">
        <w:rPr>
          <w:rFonts w:eastAsia="Calibri"/>
          <w:spacing w:val="1"/>
          <w:sz w:val="22"/>
          <w:szCs w:val="22"/>
          <w:lang w:bidi="en-GB"/>
        </w:rPr>
        <w:t>o</w:t>
      </w:r>
      <w:r w:rsidRPr="003456ED">
        <w:rPr>
          <w:rFonts w:eastAsia="Calibri"/>
          <w:spacing w:val="-1"/>
          <w:sz w:val="22"/>
          <w:szCs w:val="22"/>
          <w:lang w:bidi="en-GB"/>
        </w:rPr>
        <w:t>n</w:t>
      </w:r>
      <w:r w:rsidRPr="003456ED">
        <w:rPr>
          <w:rFonts w:eastAsia="Calibri"/>
          <w:sz w:val="22"/>
          <w:szCs w:val="22"/>
          <w:lang w:bidi="en-GB"/>
        </w:rPr>
        <w:t>si</w:t>
      </w:r>
      <w:r w:rsidRPr="003456ED">
        <w:rPr>
          <w:rFonts w:eastAsia="Calibri"/>
          <w:spacing w:val="-1"/>
          <w:sz w:val="22"/>
          <w:szCs w:val="22"/>
          <w:lang w:bidi="en-GB"/>
        </w:rPr>
        <w:t>b</w:t>
      </w:r>
      <w:r w:rsidRPr="003456ED">
        <w:rPr>
          <w:rFonts w:eastAsia="Calibri"/>
          <w:sz w:val="22"/>
          <w:szCs w:val="22"/>
          <w:lang w:bidi="en-GB"/>
        </w:rPr>
        <w:t>ili</w:t>
      </w:r>
      <w:r w:rsidRPr="003456ED">
        <w:rPr>
          <w:rFonts w:eastAsia="Calibri"/>
          <w:spacing w:val="-2"/>
          <w:sz w:val="22"/>
          <w:szCs w:val="22"/>
          <w:lang w:bidi="en-GB"/>
        </w:rPr>
        <w:t>t</w:t>
      </w:r>
      <w:r w:rsidRPr="003456ED">
        <w:rPr>
          <w:rFonts w:eastAsia="Calibri"/>
          <w:sz w:val="22"/>
          <w:szCs w:val="22"/>
          <w:lang w:bidi="en-GB"/>
        </w:rPr>
        <w:t>y</w:t>
      </w:r>
      <w:r w:rsidRPr="003456ED">
        <w:rPr>
          <w:rFonts w:eastAsia="Calibri"/>
          <w:spacing w:val="-1"/>
          <w:sz w:val="22"/>
          <w:szCs w:val="22"/>
          <w:lang w:bidi="en-GB"/>
        </w:rPr>
        <w:t xml:space="preserve"> </w:t>
      </w:r>
      <w:r w:rsidRPr="003456ED">
        <w:rPr>
          <w:rFonts w:eastAsia="Calibri"/>
          <w:spacing w:val="1"/>
          <w:sz w:val="22"/>
          <w:szCs w:val="22"/>
          <w:lang w:bidi="en-GB"/>
        </w:rPr>
        <w:t>o</w:t>
      </w:r>
      <w:r w:rsidRPr="003456ED">
        <w:rPr>
          <w:rFonts w:eastAsia="Calibri"/>
          <w:sz w:val="22"/>
          <w:szCs w:val="22"/>
          <w:lang w:bidi="en-GB"/>
        </w:rPr>
        <w:t>f</w:t>
      </w:r>
      <w:r w:rsidRPr="003456ED">
        <w:rPr>
          <w:rFonts w:eastAsia="Calibri"/>
          <w:spacing w:val="-2"/>
          <w:sz w:val="22"/>
          <w:szCs w:val="22"/>
          <w:lang w:bidi="en-GB"/>
        </w:rPr>
        <w:t xml:space="preserve"> </w:t>
      </w:r>
      <w:r w:rsidRPr="003456ED">
        <w:rPr>
          <w:rFonts w:eastAsia="Calibri"/>
          <w:sz w:val="22"/>
          <w:szCs w:val="22"/>
          <w:lang w:bidi="en-GB"/>
        </w:rPr>
        <w:t>t</w:t>
      </w:r>
      <w:r w:rsidRPr="003456ED">
        <w:rPr>
          <w:rFonts w:eastAsia="Calibri"/>
          <w:spacing w:val="-1"/>
          <w:sz w:val="22"/>
          <w:szCs w:val="22"/>
          <w:lang w:bidi="en-GB"/>
        </w:rPr>
        <w:t>h</w:t>
      </w:r>
      <w:r w:rsidRPr="003456ED">
        <w:rPr>
          <w:rFonts w:eastAsia="Calibri"/>
          <w:sz w:val="22"/>
          <w:szCs w:val="22"/>
          <w:lang w:bidi="en-GB"/>
        </w:rPr>
        <w:t>e</w:t>
      </w:r>
      <w:r w:rsidRPr="003456ED">
        <w:rPr>
          <w:rFonts w:eastAsia="Calibri"/>
          <w:spacing w:val="1"/>
          <w:sz w:val="22"/>
          <w:szCs w:val="22"/>
          <w:lang w:bidi="en-GB"/>
        </w:rPr>
        <w:t xml:space="preserve"> </w:t>
      </w:r>
      <w:r w:rsidRPr="003456ED">
        <w:rPr>
          <w:rFonts w:eastAsia="Calibri"/>
          <w:sz w:val="22"/>
          <w:szCs w:val="22"/>
          <w:lang w:bidi="en-GB"/>
        </w:rPr>
        <w:t>ra</w:t>
      </w:r>
      <w:r w:rsidRPr="003456ED">
        <w:rPr>
          <w:rFonts w:eastAsia="Calibri"/>
          <w:spacing w:val="-1"/>
          <w:sz w:val="22"/>
          <w:szCs w:val="22"/>
          <w:lang w:bidi="en-GB"/>
        </w:rPr>
        <w:t>ppo</w:t>
      </w:r>
      <w:r w:rsidRPr="003456ED">
        <w:rPr>
          <w:rFonts w:eastAsia="Calibri"/>
          <w:sz w:val="22"/>
          <w:szCs w:val="22"/>
          <w:lang w:bidi="en-GB"/>
        </w:rPr>
        <w:t>rte</w:t>
      </w:r>
      <w:r w:rsidRPr="003456ED">
        <w:rPr>
          <w:rFonts w:eastAsia="Calibri"/>
          <w:spacing w:val="-1"/>
          <w:sz w:val="22"/>
          <w:szCs w:val="22"/>
          <w:lang w:bidi="en-GB"/>
        </w:rPr>
        <w:t>u</w:t>
      </w:r>
      <w:r w:rsidRPr="003456ED">
        <w:rPr>
          <w:rFonts w:eastAsia="Calibri"/>
          <w:sz w:val="22"/>
          <w:szCs w:val="22"/>
          <w:lang w:bidi="en-GB"/>
        </w:rPr>
        <w:t>r. T</w:t>
      </w:r>
      <w:r w:rsidRPr="003456ED">
        <w:rPr>
          <w:rFonts w:eastAsia="Calibri"/>
          <w:spacing w:val="-1"/>
          <w:sz w:val="22"/>
          <w:szCs w:val="22"/>
          <w:lang w:bidi="en-GB"/>
        </w:rPr>
        <w:t>h</w:t>
      </w:r>
      <w:r w:rsidRPr="003456ED">
        <w:rPr>
          <w:rFonts w:eastAsia="Calibri"/>
          <w:sz w:val="22"/>
          <w:szCs w:val="22"/>
          <w:lang w:bidi="en-GB"/>
        </w:rPr>
        <w:t>e</w:t>
      </w:r>
      <w:r w:rsidRPr="003456ED">
        <w:rPr>
          <w:rFonts w:eastAsia="Calibri"/>
          <w:spacing w:val="1"/>
          <w:sz w:val="22"/>
          <w:szCs w:val="22"/>
          <w:lang w:bidi="en-GB"/>
        </w:rPr>
        <w:t xml:space="preserve"> </w:t>
      </w:r>
      <w:r w:rsidRPr="003456ED">
        <w:rPr>
          <w:rFonts w:eastAsia="Calibri"/>
          <w:sz w:val="22"/>
          <w:szCs w:val="22"/>
          <w:lang w:bidi="en-GB"/>
        </w:rPr>
        <w:t>ra</w:t>
      </w:r>
      <w:r w:rsidRPr="003456ED">
        <w:rPr>
          <w:rFonts w:eastAsia="Calibri"/>
          <w:spacing w:val="-1"/>
          <w:sz w:val="22"/>
          <w:szCs w:val="22"/>
          <w:lang w:bidi="en-GB"/>
        </w:rPr>
        <w:t>pp</w:t>
      </w:r>
      <w:r w:rsidRPr="003456ED">
        <w:rPr>
          <w:rFonts w:eastAsia="Calibri"/>
          <w:spacing w:val="1"/>
          <w:sz w:val="22"/>
          <w:szCs w:val="22"/>
          <w:lang w:bidi="en-GB"/>
        </w:rPr>
        <w:t>o</w:t>
      </w:r>
      <w:r w:rsidRPr="003456ED">
        <w:rPr>
          <w:rFonts w:eastAsia="Calibri"/>
          <w:spacing w:val="-2"/>
          <w:sz w:val="22"/>
          <w:szCs w:val="22"/>
          <w:lang w:bidi="en-GB"/>
        </w:rPr>
        <w:t>r</w:t>
      </w:r>
      <w:r w:rsidRPr="003456ED">
        <w:rPr>
          <w:rFonts w:eastAsia="Calibri"/>
          <w:sz w:val="22"/>
          <w:szCs w:val="22"/>
          <w:lang w:bidi="en-GB"/>
        </w:rPr>
        <w:t>te</w:t>
      </w:r>
      <w:r w:rsidRPr="003456ED">
        <w:rPr>
          <w:rFonts w:eastAsia="Calibri"/>
          <w:spacing w:val="-1"/>
          <w:sz w:val="22"/>
          <w:szCs w:val="22"/>
          <w:lang w:bidi="en-GB"/>
        </w:rPr>
        <w:t>u</w:t>
      </w:r>
      <w:r w:rsidRPr="003456ED">
        <w:rPr>
          <w:rFonts w:eastAsia="Calibri"/>
          <w:spacing w:val="1"/>
          <w:sz w:val="22"/>
          <w:szCs w:val="22"/>
          <w:lang w:bidi="en-GB"/>
        </w:rPr>
        <w:t>r</w:t>
      </w:r>
      <w:r w:rsidRPr="003456ED">
        <w:rPr>
          <w:rFonts w:eastAsia="Calibri"/>
          <w:sz w:val="22"/>
          <w:szCs w:val="22"/>
          <w:lang w:bidi="en-GB"/>
        </w:rPr>
        <w:t xml:space="preserve"> has received input from t</w:t>
      </w:r>
      <w:r w:rsidRPr="003456ED">
        <w:rPr>
          <w:rFonts w:eastAsia="Calibri"/>
          <w:spacing w:val="-1"/>
          <w:sz w:val="22"/>
          <w:szCs w:val="22"/>
          <w:lang w:bidi="en-GB"/>
        </w:rPr>
        <w:t>h</w:t>
      </w:r>
      <w:r w:rsidRPr="003456ED">
        <w:rPr>
          <w:rFonts w:eastAsia="Calibri"/>
          <w:sz w:val="22"/>
          <w:szCs w:val="22"/>
          <w:lang w:bidi="en-GB"/>
        </w:rPr>
        <w:t>e</w:t>
      </w:r>
      <w:r w:rsidRPr="003456ED">
        <w:rPr>
          <w:rFonts w:eastAsia="Calibri"/>
          <w:spacing w:val="1"/>
          <w:sz w:val="22"/>
          <w:szCs w:val="22"/>
          <w:lang w:bidi="en-GB"/>
        </w:rPr>
        <w:t xml:space="preserve"> </w:t>
      </w:r>
      <w:r w:rsidRPr="003456ED">
        <w:rPr>
          <w:rFonts w:eastAsia="Calibri"/>
          <w:spacing w:val="-2"/>
          <w:sz w:val="22"/>
          <w:szCs w:val="22"/>
          <w:lang w:bidi="en-GB"/>
        </w:rPr>
        <w:t>f</w:t>
      </w:r>
      <w:r w:rsidRPr="003456ED">
        <w:rPr>
          <w:rFonts w:eastAsia="Calibri"/>
          <w:spacing w:val="1"/>
          <w:sz w:val="22"/>
          <w:szCs w:val="22"/>
          <w:lang w:bidi="en-GB"/>
        </w:rPr>
        <w:t>o</w:t>
      </w:r>
      <w:r w:rsidRPr="003456ED">
        <w:rPr>
          <w:rFonts w:eastAsia="Calibri"/>
          <w:spacing w:val="-3"/>
          <w:sz w:val="22"/>
          <w:szCs w:val="22"/>
          <w:lang w:bidi="en-GB"/>
        </w:rPr>
        <w:t>l</w:t>
      </w:r>
      <w:r w:rsidRPr="003456ED">
        <w:rPr>
          <w:rFonts w:eastAsia="Calibri"/>
          <w:sz w:val="22"/>
          <w:szCs w:val="22"/>
          <w:lang w:bidi="en-GB"/>
        </w:rPr>
        <w:t>l</w:t>
      </w:r>
      <w:r w:rsidRPr="003456ED">
        <w:rPr>
          <w:rFonts w:eastAsia="Calibri"/>
          <w:spacing w:val="1"/>
          <w:sz w:val="22"/>
          <w:szCs w:val="22"/>
          <w:lang w:bidi="en-GB"/>
        </w:rPr>
        <w:t>o</w:t>
      </w:r>
      <w:r w:rsidRPr="003456ED">
        <w:rPr>
          <w:rFonts w:eastAsia="Calibri"/>
          <w:sz w:val="22"/>
          <w:szCs w:val="22"/>
          <w:lang w:bidi="en-GB"/>
        </w:rPr>
        <w:t>wi</w:t>
      </w:r>
      <w:r w:rsidRPr="003456ED">
        <w:rPr>
          <w:rFonts w:eastAsia="Calibri"/>
          <w:spacing w:val="-1"/>
          <w:sz w:val="22"/>
          <w:szCs w:val="22"/>
          <w:lang w:bidi="en-GB"/>
        </w:rPr>
        <w:t>n</w:t>
      </w:r>
      <w:r w:rsidRPr="003456ED">
        <w:rPr>
          <w:rFonts w:eastAsia="Calibri"/>
          <w:sz w:val="22"/>
          <w:szCs w:val="22"/>
          <w:lang w:bidi="en-GB"/>
        </w:rPr>
        <w:t>g e</w:t>
      </w:r>
      <w:r w:rsidRPr="003456ED">
        <w:rPr>
          <w:rFonts w:eastAsia="Calibri"/>
          <w:spacing w:val="-3"/>
          <w:sz w:val="22"/>
          <w:szCs w:val="22"/>
          <w:lang w:bidi="en-GB"/>
        </w:rPr>
        <w:t>n</w:t>
      </w:r>
      <w:r w:rsidRPr="003456ED">
        <w:rPr>
          <w:rFonts w:eastAsia="Calibri"/>
          <w:sz w:val="22"/>
          <w:szCs w:val="22"/>
          <w:lang w:bidi="en-GB"/>
        </w:rPr>
        <w:t>tities</w:t>
      </w:r>
      <w:r w:rsidRPr="003456ED">
        <w:rPr>
          <w:rFonts w:eastAsia="Calibri"/>
          <w:spacing w:val="-2"/>
          <w:sz w:val="22"/>
          <w:szCs w:val="22"/>
          <w:lang w:bidi="en-GB"/>
        </w:rPr>
        <w:t xml:space="preserve"> </w:t>
      </w:r>
      <w:r w:rsidRPr="003456ED">
        <w:rPr>
          <w:rFonts w:eastAsia="Calibri"/>
          <w:spacing w:val="1"/>
          <w:sz w:val="22"/>
          <w:szCs w:val="22"/>
          <w:lang w:bidi="en-GB"/>
        </w:rPr>
        <w:t>o</w:t>
      </w:r>
      <w:r w:rsidRPr="003456ED">
        <w:rPr>
          <w:rFonts w:eastAsia="Calibri"/>
          <w:sz w:val="22"/>
          <w:szCs w:val="22"/>
          <w:lang w:bidi="en-GB"/>
        </w:rPr>
        <w:t>r</w:t>
      </w:r>
      <w:r w:rsidRPr="003456ED">
        <w:rPr>
          <w:rFonts w:eastAsia="Calibri"/>
          <w:spacing w:val="-2"/>
          <w:sz w:val="22"/>
          <w:szCs w:val="22"/>
          <w:lang w:bidi="en-GB"/>
        </w:rPr>
        <w:t xml:space="preserve"> </w:t>
      </w:r>
      <w:r w:rsidRPr="003456ED">
        <w:rPr>
          <w:rFonts w:eastAsia="Calibri"/>
          <w:spacing w:val="-1"/>
          <w:sz w:val="22"/>
          <w:szCs w:val="22"/>
          <w:lang w:bidi="en-GB"/>
        </w:rPr>
        <w:t>p</w:t>
      </w:r>
      <w:r w:rsidRPr="003456ED">
        <w:rPr>
          <w:rFonts w:eastAsia="Calibri"/>
          <w:sz w:val="22"/>
          <w:szCs w:val="22"/>
          <w:lang w:bidi="en-GB"/>
        </w:rPr>
        <w:t>er</w:t>
      </w:r>
      <w:r w:rsidRPr="003456ED">
        <w:rPr>
          <w:rFonts w:eastAsia="Calibri"/>
          <w:spacing w:val="-2"/>
          <w:sz w:val="22"/>
          <w:szCs w:val="22"/>
          <w:lang w:bidi="en-GB"/>
        </w:rPr>
        <w:t>s</w:t>
      </w:r>
      <w:r w:rsidRPr="003456ED">
        <w:rPr>
          <w:rFonts w:eastAsia="Calibri"/>
          <w:spacing w:val="1"/>
          <w:sz w:val="22"/>
          <w:szCs w:val="22"/>
          <w:lang w:bidi="en-GB"/>
        </w:rPr>
        <w:t>o</w:t>
      </w:r>
      <w:r w:rsidRPr="003456ED">
        <w:rPr>
          <w:rFonts w:eastAsia="Calibri"/>
          <w:spacing w:val="-1"/>
          <w:sz w:val="22"/>
          <w:szCs w:val="22"/>
          <w:lang w:bidi="en-GB"/>
        </w:rPr>
        <w:t>n</w:t>
      </w:r>
      <w:r w:rsidRPr="003456ED">
        <w:rPr>
          <w:rFonts w:eastAsia="Calibri"/>
          <w:sz w:val="22"/>
          <w:szCs w:val="22"/>
          <w:lang w:bidi="en-GB"/>
        </w:rPr>
        <w:t>s</w:t>
      </w:r>
      <w:r w:rsidRPr="003456ED">
        <w:rPr>
          <w:rFonts w:eastAsia="Calibri"/>
          <w:spacing w:val="1"/>
          <w:sz w:val="22"/>
          <w:szCs w:val="22"/>
          <w:lang w:bidi="en-GB"/>
        </w:rPr>
        <w:t xml:space="preserve"> </w:t>
      </w:r>
      <w:r w:rsidRPr="003456ED">
        <w:rPr>
          <w:rFonts w:eastAsia="Calibri"/>
          <w:sz w:val="22"/>
          <w:szCs w:val="22"/>
          <w:lang w:bidi="en-GB"/>
        </w:rPr>
        <w:t>in</w:t>
      </w:r>
      <w:r w:rsidRPr="003456ED">
        <w:rPr>
          <w:rFonts w:eastAsia="Calibri"/>
          <w:spacing w:val="-2"/>
          <w:sz w:val="22"/>
          <w:szCs w:val="22"/>
          <w:lang w:bidi="en-GB"/>
        </w:rPr>
        <w:t xml:space="preserve"> </w:t>
      </w:r>
      <w:r w:rsidRPr="003456ED">
        <w:rPr>
          <w:rFonts w:eastAsia="Calibri"/>
          <w:sz w:val="22"/>
          <w:szCs w:val="22"/>
          <w:lang w:bidi="en-GB"/>
        </w:rPr>
        <w:t>t</w:t>
      </w:r>
      <w:r w:rsidRPr="003456ED">
        <w:rPr>
          <w:rFonts w:eastAsia="Calibri"/>
          <w:spacing w:val="-1"/>
          <w:sz w:val="22"/>
          <w:szCs w:val="22"/>
          <w:lang w:bidi="en-GB"/>
        </w:rPr>
        <w:t>h</w:t>
      </w:r>
      <w:r w:rsidRPr="003456ED">
        <w:rPr>
          <w:rFonts w:eastAsia="Calibri"/>
          <w:sz w:val="22"/>
          <w:szCs w:val="22"/>
          <w:lang w:bidi="en-GB"/>
        </w:rPr>
        <w:t>e</w:t>
      </w:r>
      <w:r w:rsidRPr="003456ED">
        <w:rPr>
          <w:rFonts w:eastAsia="Calibri"/>
          <w:spacing w:val="1"/>
          <w:sz w:val="22"/>
          <w:szCs w:val="22"/>
          <w:lang w:bidi="en-GB"/>
        </w:rPr>
        <w:t xml:space="preserve"> </w:t>
      </w:r>
      <w:r w:rsidRPr="003456ED">
        <w:rPr>
          <w:rFonts w:eastAsia="Calibri"/>
          <w:spacing w:val="-1"/>
          <w:sz w:val="22"/>
          <w:szCs w:val="22"/>
          <w:lang w:bidi="en-GB"/>
        </w:rPr>
        <w:t>p</w:t>
      </w:r>
      <w:r w:rsidRPr="003456ED">
        <w:rPr>
          <w:rFonts w:eastAsia="Calibri"/>
          <w:sz w:val="22"/>
          <w:szCs w:val="22"/>
          <w:lang w:bidi="en-GB"/>
        </w:rPr>
        <w:t>re</w:t>
      </w:r>
      <w:r w:rsidRPr="003456ED">
        <w:rPr>
          <w:rFonts w:eastAsia="Calibri"/>
          <w:spacing w:val="-3"/>
          <w:sz w:val="22"/>
          <w:szCs w:val="22"/>
          <w:lang w:bidi="en-GB"/>
        </w:rPr>
        <w:t>p</w:t>
      </w:r>
      <w:r w:rsidRPr="003456ED">
        <w:rPr>
          <w:rFonts w:eastAsia="Calibri"/>
          <w:sz w:val="22"/>
          <w:szCs w:val="22"/>
          <w:lang w:bidi="en-GB"/>
        </w:rPr>
        <w:t>arati</w:t>
      </w:r>
      <w:r w:rsidRPr="003456ED">
        <w:rPr>
          <w:rFonts w:eastAsia="Calibri"/>
          <w:spacing w:val="1"/>
          <w:sz w:val="22"/>
          <w:szCs w:val="22"/>
          <w:lang w:bidi="en-GB"/>
        </w:rPr>
        <w:t>o</w:t>
      </w:r>
      <w:r w:rsidRPr="003456ED">
        <w:rPr>
          <w:rFonts w:eastAsia="Calibri"/>
          <w:sz w:val="22"/>
          <w:szCs w:val="22"/>
          <w:lang w:bidi="en-GB"/>
        </w:rPr>
        <w:t>n</w:t>
      </w:r>
      <w:r w:rsidRPr="003456ED">
        <w:rPr>
          <w:rFonts w:eastAsia="Calibri"/>
          <w:spacing w:val="-2"/>
          <w:sz w:val="22"/>
          <w:szCs w:val="22"/>
          <w:lang w:bidi="en-GB"/>
        </w:rPr>
        <w:t xml:space="preserve"> </w:t>
      </w:r>
      <w:r w:rsidRPr="003456ED">
        <w:rPr>
          <w:rFonts w:eastAsia="Calibri"/>
          <w:spacing w:val="1"/>
          <w:sz w:val="22"/>
          <w:szCs w:val="22"/>
          <w:lang w:bidi="en-GB"/>
        </w:rPr>
        <w:t>o</w:t>
      </w:r>
      <w:r w:rsidRPr="003456ED">
        <w:rPr>
          <w:rFonts w:eastAsia="Calibri"/>
          <w:sz w:val="22"/>
          <w:szCs w:val="22"/>
          <w:lang w:bidi="en-GB"/>
        </w:rPr>
        <w:t>f</w:t>
      </w:r>
      <w:r w:rsidRPr="003456ED">
        <w:rPr>
          <w:rFonts w:eastAsia="Calibri"/>
          <w:spacing w:val="1"/>
          <w:sz w:val="22"/>
          <w:szCs w:val="22"/>
          <w:lang w:bidi="en-GB"/>
        </w:rPr>
        <w:t xml:space="preserve"> </w:t>
      </w:r>
      <w:r w:rsidRPr="003456ED">
        <w:rPr>
          <w:rFonts w:eastAsia="Calibri"/>
          <w:sz w:val="22"/>
          <w:szCs w:val="22"/>
          <w:lang w:bidi="en-GB"/>
        </w:rPr>
        <w:t>t</w:t>
      </w:r>
      <w:r w:rsidRPr="003456ED">
        <w:rPr>
          <w:rFonts w:eastAsia="Calibri"/>
          <w:spacing w:val="-1"/>
          <w:sz w:val="22"/>
          <w:szCs w:val="22"/>
          <w:lang w:bidi="en-GB"/>
        </w:rPr>
        <w:t>he draft</w:t>
      </w:r>
      <w:r w:rsidRPr="003456ED">
        <w:rPr>
          <w:rFonts w:eastAsia="Calibri"/>
          <w:spacing w:val="-2"/>
          <w:sz w:val="22"/>
          <w:szCs w:val="22"/>
          <w:lang w:bidi="en-GB"/>
        </w:rPr>
        <w:t xml:space="preserve"> </w:t>
      </w:r>
      <w:r w:rsidRPr="003456ED">
        <w:rPr>
          <w:rFonts w:eastAsia="Calibri"/>
          <w:sz w:val="22"/>
          <w:szCs w:val="22"/>
          <w:lang w:bidi="en-GB"/>
        </w:rPr>
        <w:t>re</w:t>
      </w:r>
      <w:r w:rsidRPr="003456ED">
        <w:rPr>
          <w:rFonts w:eastAsia="Calibri"/>
          <w:spacing w:val="-3"/>
          <w:sz w:val="22"/>
          <w:szCs w:val="22"/>
          <w:lang w:bidi="en-GB"/>
        </w:rPr>
        <w:t>p</w:t>
      </w:r>
      <w:r w:rsidRPr="003456ED">
        <w:rPr>
          <w:rFonts w:eastAsia="Calibri"/>
          <w:spacing w:val="1"/>
          <w:sz w:val="22"/>
          <w:szCs w:val="22"/>
          <w:lang w:bidi="en-GB"/>
        </w:rPr>
        <w:t>o</w:t>
      </w:r>
      <w:r w:rsidR="001B7AF5" w:rsidRPr="003456ED">
        <w:rPr>
          <w:rFonts w:eastAsia="Calibri"/>
          <w:sz w:val="22"/>
          <w:szCs w:val="22"/>
          <w:lang w:bidi="en-GB"/>
        </w:rPr>
        <w:t>rt</w:t>
      </w:r>
      <w:r w:rsidRPr="003456ED">
        <w:rPr>
          <w:rFonts w:eastAsia="Calibri"/>
          <w:sz w:val="22"/>
          <w:szCs w:val="22"/>
          <w:lang w:bidi="en-GB"/>
        </w:rPr>
        <w:t>:</w:t>
      </w:r>
    </w:p>
    <w:p w14:paraId="4370E14B" w14:textId="77777777" w:rsidR="006D54A8" w:rsidRPr="003456ED" w:rsidRDefault="006D54A8" w:rsidP="006D54A8">
      <w:pPr>
        <w:spacing w:line="200" w:lineRule="exact"/>
        <w:rPr>
          <w:lang w:bidi="en-GB"/>
        </w:rPr>
      </w:pPr>
    </w:p>
    <w:p w14:paraId="5C7FCB51" w14:textId="77777777" w:rsidR="006D54A8" w:rsidRPr="003456ED" w:rsidRDefault="006D54A8" w:rsidP="006D54A8">
      <w:pPr>
        <w:spacing w:line="200" w:lineRule="exact"/>
        <w:rPr>
          <w:lang w:bidi="en-GB"/>
        </w:rPr>
      </w:pPr>
    </w:p>
    <w:p w14:paraId="2DA7D0CC" w14:textId="77777777" w:rsidR="006D54A8" w:rsidRPr="003456ED" w:rsidRDefault="006D54A8" w:rsidP="006D54A8">
      <w:pPr>
        <w:spacing w:line="200" w:lineRule="exact"/>
        <w:rPr>
          <w:lang w:bidi="en-GB"/>
        </w:rPr>
      </w:pPr>
    </w:p>
    <w:tbl>
      <w:tblPr>
        <w:tblW w:w="0" w:type="auto"/>
        <w:tblInd w:w="98" w:type="dxa"/>
        <w:tblLayout w:type="fixed"/>
        <w:tblCellMar>
          <w:left w:w="0" w:type="dxa"/>
          <w:right w:w="0" w:type="dxa"/>
        </w:tblCellMar>
        <w:tblLook w:val="01E0" w:firstRow="1" w:lastRow="1" w:firstColumn="1" w:lastColumn="1" w:noHBand="0" w:noVBand="0"/>
      </w:tblPr>
      <w:tblGrid>
        <w:gridCol w:w="9067"/>
      </w:tblGrid>
      <w:tr w:rsidR="006D54A8" w:rsidRPr="003456ED" w14:paraId="569EE84E" w14:textId="77777777" w:rsidTr="006D54A8">
        <w:trPr>
          <w:trHeight w:val="278"/>
        </w:trPr>
        <w:tc>
          <w:tcPr>
            <w:tcW w:w="9067" w:type="dxa"/>
            <w:tcBorders>
              <w:top w:val="single" w:sz="4" w:space="0" w:color="000000"/>
              <w:left w:val="single" w:sz="4" w:space="0" w:color="000000"/>
              <w:bottom w:val="single" w:sz="4" w:space="0" w:color="000000"/>
              <w:right w:val="single" w:sz="4" w:space="0" w:color="000000"/>
            </w:tcBorders>
            <w:hideMark/>
          </w:tcPr>
          <w:p w14:paraId="1A01EAF1" w14:textId="77777777" w:rsidR="006D54A8" w:rsidRPr="003456ED" w:rsidRDefault="006D54A8" w:rsidP="001B7AF5">
            <w:pPr>
              <w:spacing w:line="260" w:lineRule="exact"/>
              <w:ind w:left="3567" w:right="3563"/>
              <w:jc w:val="center"/>
              <w:rPr>
                <w:rFonts w:eastAsia="Calibri"/>
                <w:b/>
                <w:sz w:val="22"/>
                <w:szCs w:val="22"/>
                <w:lang w:bidi="en-GB"/>
              </w:rPr>
            </w:pPr>
            <w:r w:rsidRPr="003456ED">
              <w:rPr>
                <w:rFonts w:eastAsia="Calibri"/>
                <w:b/>
                <w:position w:val="1"/>
                <w:sz w:val="22"/>
                <w:szCs w:val="22"/>
                <w:lang w:bidi="en-GB"/>
              </w:rPr>
              <w:t>E</w:t>
            </w:r>
            <w:r w:rsidRPr="003456ED">
              <w:rPr>
                <w:rFonts w:eastAsia="Calibri"/>
                <w:b/>
                <w:spacing w:val="-1"/>
                <w:position w:val="1"/>
                <w:sz w:val="22"/>
                <w:szCs w:val="22"/>
                <w:lang w:bidi="en-GB"/>
              </w:rPr>
              <w:t>n</w:t>
            </w:r>
            <w:r w:rsidRPr="003456ED">
              <w:rPr>
                <w:rFonts w:eastAsia="Calibri"/>
                <w:b/>
                <w:position w:val="1"/>
                <w:sz w:val="22"/>
                <w:szCs w:val="22"/>
                <w:lang w:bidi="en-GB"/>
              </w:rPr>
              <w:t>tity</w:t>
            </w:r>
            <w:r w:rsidRPr="003456ED">
              <w:rPr>
                <w:rFonts w:eastAsia="Calibri"/>
                <w:b/>
                <w:spacing w:val="1"/>
                <w:position w:val="1"/>
                <w:sz w:val="22"/>
                <w:szCs w:val="22"/>
                <w:lang w:bidi="en-GB"/>
              </w:rPr>
              <w:t xml:space="preserve"> </w:t>
            </w:r>
            <w:r w:rsidRPr="003456ED">
              <w:rPr>
                <w:rFonts w:eastAsia="Calibri"/>
                <w:b/>
                <w:position w:val="1"/>
                <w:sz w:val="22"/>
                <w:szCs w:val="22"/>
                <w:lang w:bidi="en-GB"/>
              </w:rPr>
              <w:t>a</w:t>
            </w:r>
            <w:r w:rsidRPr="003456ED">
              <w:rPr>
                <w:rFonts w:eastAsia="Calibri"/>
                <w:b/>
                <w:spacing w:val="-1"/>
                <w:position w:val="1"/>
                <w:sz w:val="22"/>
                <w:szCs w:val="22"/>
                <w:lang w:bidi="en-GB"/>
              </w:rPr>
              <w:t>n</w:t>
            </w:r>
            <w:r w:rsidRPr="003456ED">
              <w:rPr>
                <w:rFonts w:eastAsia="Calibri"/>
                <w:b/>
                <w:spacing w:val="-3"/>
                <w:position w:val="1"/>
                <w:sz w:val="22"/>
                <w:szCs w:val="22"/>
                <w:lang w:bidi="en-GB"/>
              </w:rPr>
              <w:t>d</w:t>
            </w:r>
            <w:r w:rsidRPr="003456ED">
              <w:rPr>
                <w:rFonts w:eastAsia="Calibri"/>
                <w:b/>
                <w:spacing w:val="1"/>
                <w:position w:val="1"/>
                <w:sz w:val="22"/>
                <w:szCs w:val="22"/>
                <w:lang w:bidi="en-GB"/>
              </w:rPr>
              <w:t>/o</w:t>
            </w:r>
            <w:r w:rsidRPr="003456ED">
              <w:rPr>
                <w:rFonts w:eastAsia="Calibri"/>
                <w:b/>
                <w:position w:val="1"/>
                <w:sz w:val="22"/>
                <w:szCs w:val="22"/>
                <w:lang w:bidi="en-GB"/>
              </w:rPr>
              <w:t xml:space="preserve">r </w:t>
            </w:r>
            <w:r w:rsidRPr="003456ED">
              <w:rPr>
                <w:rFonts w:eastAsia="Calibri"/>
                <w:b/>
                <w:spacing w:val="-1"/>
                <w:position w:val="1"/>
                <w:sz w:val="22"/>
                <w:szCs w:val="22"/>
                <w:lang w:bidi="en-GB"/>
              </w:rPr>
              <w:t>p</w:t>
            </w:r>
            <w:r w:rsidRPr="003456ED">
              <w:rPr>
                <w:rFonts w:eastAsia="Calibri"/>
                <w:b/>
                <w:position w:val="1"/>
                <w:sz w:val="22"/>
                <w:szCs w:val="22"/>
                <w:lang w:bidi="en-GB"/>
              </w:rPr>
              <w:t>er</w:t>
            </w:r>
            <w:r w:rsidRPr="003456ED">
              <w:rPr>
                <w:rFonts w:eastAsia="Calibri"/>
                <w:b/>
                <w:spacing w:val="-2"/>
                <w:position w:val="1"/>
                <w:sz w:val="22"/>
                <w:szCs w:val="22"/>
                <w:lang w:bidi="en-GB"/>
              </w:rPr>
              <w:t>s</w:t>
            </w:r>
            <w:r w:rsidRPr="003456ED">
              <w:rPr>
                <w:rFonts w:eastAsia="Calibri"/>
                <w:b/>
                <w:spacing w:val="1"/>
                <w:position w:val="1"/>
                <w:sz w:val="22"/>
                <w:szCs w:val="22"/>
                <w:lang w:bidi="en-GB"/>
              </w:rPr>
              <w:t>o</w:t>
            </w:r>
            <w:r w:rsidRPr="003456ED">
              <w:rPr>
                <w:rFonts w:eastAsia="Calibri"/>
                <w:b/>
                <w:position w:val="1"/>
                <w:sz w:val="22"/>
                <w:szCs w:val="22"/>
                <w:lang w:bidi="en-GB"/>
              </w:rPr>
              <w:t>n</w:t>
            </w:r>
          </w:p>
        </w:tc>
      </w:tr>
      <w:tr w:rsidR="006D54A8" w:rsidRPr="003456ED" w14:paraId="05AAE152" w14:textId="77777777" w:rsidTr="006D54A8">
        <w:trPr>
          <w:trHeight w:val="278"/>
        </w:trPr>
        <w:tc>
          <w:tcPr>
            <w:tcW w:w="9067" w:type="dxa"/>
            <w:tcBorders>
              <w:top w:val="single" w:sz="4" w:space="0" w:color="000000"/>
              <w:left w:val="single" w:sz="4" w:space="0" w:color="000000"/>
              <w:bottom w:val="single" w:sz="4" w:space="0" w:color="000000"/>
              <w:right w:val="single" w:sz="4" w:space="0" w:color="000000"/>
            </w:tcBorders>
            <w:hideMark/>
          </w:tcPr>
          <w:p w14:paraId="2942E07D" w14:textId="77777777" w:rsidR="006D54A8" w:rsidRPr="003456ED" w:rsidRDefault="006D54A8">
            <w:pPr>
              <w:rPr>
                <w:lang w:bidi="en-GB"/>
              </w:rPr>
            </w:pPr>
            <w:r w:rsidRPr="003456ED">
              <w:rPr>
                <w:lang w:bidi="en-GB"/>
              </w:rPr>
              <w:t xml:space="preserve"> Independent Retail Europe</w:t>
            </w:r>
          </w:p>
        </w:tc>
      </w:tr>
      <w:tr w:rsidR="006D54A8" w:rsidRPr="003456ED" w14:paraId="25B55536" w14:textId="77777777" w:rsidTr="006D54A8">
        <w:trPr>
          <w:trHeight w:val="278"/>
        </w:trPr>
        <w:tc>
          <w:tcPr>
            <w:tcW w:w="9067" w:type="dxa"/>
            <w:tcBorders>
              <w:top w:val="single" w:sz="4" w:space="0" w:color="000000"/>
              <w:left w:val="single" w:sz="4" w:space="0" w:color="000000"/>
              <w:bottom w:val="single" w:sz="4" w:space="0" w:color="000000"/>
              <w:right w:val="single" w:sz="4" w:space="0" w:color="000000"/>
            </w:tcBorders>
            <w:hideMark/>
          </w:tcPr>
          <w:p w14:paraId="0792CC54" w14:textId="77777777" w:rsidR="006D54A8" w:rsidRPr="003456ED" w:rsidRDefault="006D54A8">
            <w:pPr>
              <w:rPr>
                <w:lang w:bidi="en-GB"/>
              </w:rPr>
            </w:pPr>
            <w:r w:rsidRPr="003456ED">
              <w:rPr>
                <w:lang w:bidi="en-GB"/>
              </w:rPr>
              <w:t xml:space="preserve"> European Franchise Federation</w:t>
            </w:r>
          </w:p>
        </w:tc>
      </w:tr>
      <w:tr w:rsidR="006D54A8" w:rsidRPr="003456ED" w14:paraId="6E737FCB" w14:textId="77777777" w:rsidTr="006D54A8">
        <w:trPr>
          <w:trHeight w:val="278"/>
        </w:trPr>
        <w:tc>
          <w:tcPr>
            <w:tcW w:w="9067" w:type="dxa"/>
            <w:tcBorders>
              <w:top w:val="single" w:sz="4" w:space="0" w:color="000000"/>
              <w:left w:val="single" w:sz="4" w:space="0" w:color="000000"/>
              <w:bottom w:val="single" w:sz="4" w:space="0" w:color="000000"/>
              <w:right w:val="single" w:sz="4" w:space="0" w:color="000000"/>
            </w:tcBorders>
            <w:hideMark/>
          </w:tcPr>
          <w:p w14:paraId="3892AFEA" w14:textId="77777777" w:rsidR="006D54A8" w:rsidRPr="003456ED" w:rsidRDefault="006D54A8">
            <w:pPr>
              <w:rPr>
                <w:lang w:bidi="en-GB"/>
              </w:rPr>
            </w:pPr>
            <w:r w:rsidRPr="003456ED">
              <w:rPr>
                <w:lang w:bidi="en-GB"/>
              </w:rPr>
              <w:t xml:space="preserve"> Vakcentrum</w:t>
            </w:r>
          </w:p>
        </w:tc>
      </w:tr>
      <w:tr w:rsidR="006D54A8" w:rsidRPr="003456ED" w14:paraId="27795269" w14:textId="77777777" w:rsidTr="006D54A8">
        <w:trPr>
          <w:trHeight w:val="278"/>
        </w:trPr>
        <w:tc>
          <w:tcPr>
            <w:tcW w:w="9067" w:type="dxa"/>
            <w:tcBorders>
              <w:top w:val="single" w:sz="4" w:space="0" w:color="000000"/>
              <w:left w:val="single" w:sz="4" w:space="0" w:color="000000"/>
              <w:bottom w:val="single" w:sz="4" w:space="0" w:color="000000"/>
              <w:right w:val="single" w:sz="4" w:space="0" w:color="000000"/>
            </w:tcBorders>
            <w:hideMark/>
          </w:tcPr>
          <w:p w14:paraId="5FFA7C24" w14:textId="77777777" w:rsidR="006D54A8" w:rsidRPr="003456ED" w:rsidRDefault="006D54A8">
            <w:pPr>
              <w:rPr>
                <w:lang w:bidi="en-GB"/>
              </w:rPr>
            </w:pPr>
            <w:r w:rsidRPr="003456ED">
              <w:rPr>
                <w:lang w:bidi="en-GB"/>
              </w:rPr>
              <w:t xml:space="preserve"> Italian Consumers organisation</w:t>
            </w:r>
          </w:p>
        </w:tc>
      </w:tr>
      <w:tr w:rsidR="006D54A8" w:rsidRPr="003456ED" w14:paraId="70363B73" w14:textId="77777777" w:rsidTr="006D54A8">
        <w:trPr>
          <w:trHeight w:val="278"/>
        </w:trPr>
        <w:tc>
          <w:tcPr>
            <w:tcW w:w="9067" w:type="dxa"/>
            <w:tcBorders>
              <w:top w:val="single" w:sz="4" w:space="0" w:color="000000"/>
              <w:left w:val="single" w:sz="4" w:space="0" w:color="000000"/>
              <w:bottom w:val="single" w:sz="4" w:space="0" w:color="000000"/>
              <w:right w:val="single" w:sz="4" w:space="0" w:color="000000"/>
            </w:tcBorders>
            <w:hideMark/>
          </w:tcPr>
          <w:p w14:paraId="745B5E1C" w14:textId="77777777" w:rsidR="006D54A8" w:rsidRPr="003456ED" w:rsidRDefault="006D54A8">
            <w:pPr>
              <w:rPr>
                <w:lang w:bidi="en-GB"/>
              </w:rPr>
            </w:pPr>
            <w:r w:rsidRPr="003456ED">
              <w:rPr>
                <w:lang w:bidi="en-GB"/>
              </w:rPr>
              <w:t xml:space="preserve"> UEAPME</w:t>
            </w:r>
          </w:p>
        </w:tc>
      </w:tr>
      <w:tr w:rsidR="006D54A8" w:rsidRPr="003456ED" w14:paraId="19360667" w14:textId="77777777" w:rsidTr="006D54A8">
        <w:trPr>
          <w:trHeight w:val="278"/>
        </w:trPr>
        <w:tc>
          <w:tcPr>
            <w:tcW w:w="9067" w:type="dxa"/>
            <w:tcBorders>
              <w:top w:val="single" w:sz="4" w:space="0" w:color="000000"/>
              <w:left w:val="single" w:sz="4" w:space="0" w:color="000000"/>
              <w:bottom w:val="single" w:sz="4" w:space="0" w:color="000000"/>
              <w:right w:val="single" w:sz="4" w:space="0" w:color="000000"/>
            </w:tcBorders>
            <w:hideMark/>
          </w:tcPr>
          <w:p w14:paraId="6B939E8A" w14:textId="77777777" w:rsidR="006D54A8" w:rsidRPr="003456ED" w:rsidRDefault="006D54A8">
            <w:pPr>
              <w:rPr>
                <w:lang w:bidi="en-GB"/>
              </w:rPr>
            </w:pPr>
            <w:r w:rsidRPr="003456ED">
              <w:rPr>
                <w:lang w:bidi="en-GB"/>
              </w:rPr>
              <w:t xml:space="preserve"> Nederlandse Franchise Vereniging</w:t>
            </w:r>
          </w:p>
        </w:tc>
      </w:tr>
      <w:tr w:rsidR="006D54A8" w:rsidRPr="00DB522B" w14:paraId="4951F29B" w14:textId="77777777" w:rsidTr="006D54A8">
        <w:trPr>
          <w:trHeight w:val="278"/>
        </w:trPr>
        <w:tc>
          <w:tcPr>
            <w:tcW w:w="9067" w:type="dxa"/>
            <w:tcBorders>
              <w:top w:val="single" w:sz="4" w:space="0" w:color="000000"/>
              <w:left w:val="single" w:sz="4" w:space="0" w:color="000000"/>
              <w:bottom w:val="single" w:sz="4" w:space="0" w:color="000000"/>
              <w:right w:val="single" w:sz="4" w:space="0" w:color="000000"/>
            </w:tcBorders>
            <w:hideMark/>
          </w:tcPr>
          <w:p w14:paraId="48A0510B" w14:textId="77777777" w:rsidR="006D54A8" w:rsidRPr="0021052C" w:rsidRDefault="006D54A8">
            <w:pPr>
              <w:rPr>
                <w:lang w:val="nl-NL" w:bidi="en-GB"/>
              </w:rPr>
            </w:pPr>
            <w:r w:rsidRPr="0021052C">
              <w:rPr>
                <w:lang w:val="nl-NL" w:bidi="en-GB"/>
              </w:rPr>
              <w:t xml:space="preserve"> Commissie Franchising van de Raad Nederlandse Detailhandel+</w:t>
            </w:r>
          </w:p>
        </w:tc>
      </w:tr>
      <w:tr w:rsidR="006D54A8" w:rsidRPr="003456ED" w14:paraId="6FD9587A" w14:textId="77777777" w:rsidTr="006D54A8">
        <w:trPr>
          <w:trHeight w:val="278"/>
        </w:trPr>
        <w:tc>
          <w:tcPr>
            <w:tcW w:w="9067" w:type="dxa"/>
            <w:tcBorders>
              <w:top w:val="single" w:sz="4" w:space="0" w:color="000000"/>
              <w:left w:val="single" w:sz="4" w:space="0" w:color="000000"/>
              <w:bottom w:val="single" w:sz="4" w:space="0" w:color="000000"/>
              <w:right w:val="single" w:sz="4" w:space="0" w:color="000000"/>
            </w:tcBorders>
            <w:hideMark/>
          </w:tcPr>
          <w:p w14:paraId="67D4F574" w14:textId="77777777" w:rsidR="006D54A8" w:rsidRPr="003456ED" w:rsidRDefault="006D54A8">
            <w:pPr>
              <w:rPr>
                <w:lang w:bidi="en-GB"/>
              </w:rPr>
            </w:pPr>
            <w:r w:rsidRPr="0021052C">
              <w:rPr>
                <w:lang w:val="nl-NL" w:bidi="en-GB"/>
              </w:rPr>
              <w:t xml:space="preserve"> </w:t>
            </w:r>
            <w:r w:rsidRPr="003456ED">
              <w:rPr>
                <w:lang w:bidi="en-GB"/>
              </w:rPr>
              <w:t>FHC Formulebeheer</w:t>
            </w:r>
          </w:p>
        </w:tc>
      </w:tr>
      <w:tr w:rsidR="006D54A8" w:rsidRPr="003456ED" w14:paraId="06A18AE6" w14:textId="77777777" w:rsidTr="006D54A8">
        <w:trPr>
          <w:trHeight w:val="278"/>
        </w:trPr>
        <w:tc>
          <w:tcPr>
            <w:tcW w:w="9067" w:type="dxa"/>
            <w:tcBorders>
              <w:top w:val="single" w:sz="4" w:space="0" w:color="000000"/>
              <w:left w:val="single" w:sz="4" w:space="0" w:color="000000"/>
              <w:bottom w:val="single" w:sz="4" w:space="0" w:color="000000"/>
              <w:right w:val="single" w:sz="4" w:space="0" w:color="000000"/>
            </w:tcBorders>
            <w:hideMark/>
          </w:tcPr>
          <w:p w14:paraId="00242B66" w14:textId="77777777" w:rsidR="006D54A8" w:rsidRPr="003456ED" w:rsidRDefault="006D54A8">
            <w:pPr>
              <w:rPr>
                <w:lang w:bidi="en-GB"/>
              </w:rPr>
            </w:pPr>
            <w:r w:rsidRPr="003456ED">
              <w:rPr>
                <w:lang w:bidi="en-GB"/>
              </w:rPr>
              <w:t xml:space="preserve"> Bird &amp; Bird Law firm</w:t>
            </w:r>
          </w:p>
        </w:tc>
      </w:tr>
      <w:tr w:rsidR="006D54A8" w:rsidRPr="003456ED" w14:paraId="6BF34D4C" w14:textId="77777777" w:rsidTr="006D54A8">
        <w:trPr>
          <w:trHeight w:val="278"/>
        </w:trPr>
        <w:tc>
          <w:tcPr>
            <w:tcW w:w="9067" w:type="dxa"/>
            <w:tcBorders>
              <w:top w:val="single" w:sz="4" w:space="0" w:color="000000"/>
              <w:left w:val="single" w:sz="4" w:space="0" w:color="000000"/>
              <w:bottom w:val="single" w:sz="4" w:space="0" w:color="000000"/>
              <w:right w:val="single" w:sz="4" w:space="0" w:color="000000"/>
            </w:tcBorders>
            <w:hideMark/>
          </w:tcPr>
          <w:p w14:paraId="7E5A5EC9" w14:textId="77777777" w:rsidR="006D54A8" w:rsidRPr="003456ED" w:rsidRDefault="006D54A8">
            <w:pPr>
              <w:rPr>
                <w:lang w:bidi="en-GB"/>
              </w:rPr>
            </w:pPr>
            <w:r w:rsidRPr="003456ED">
              <w:rPr>
                <w:lang w:bidi="en-GB"/>
              </w:rPr>
              <w:t xml:space="preserve"> Eurocommerce</w:t>
            </w:r>
          </w:p>
        </w:tc>
      </w:tr>
      <w:tr w:rsidR="006D54A8" w:rsidRPr="003456ED" w14:paraId="6580B5FB" w14:textId="77777777" w:rsidTr="006D54A8">
        <w:trPr>
          <w:trHeight w:val="278"/>
        </w:trPr>
        <w:tc>
          <w:tcPr>
            <w:tcW w:w="9067" w:type="dxa"/>
            <w:tcBorders>
              <w:top w:val="single" w:sz="4" w:space="0" w:color="000000"/>
              <w:left w:val="single" w:sz="4" w:space="0" w:color="000000"/>
              <w:bottom w:val="single" w:sz="4" w:space="0" w:color="000000"/>
              <w:right w:val="single" w:sz="4" w:space="0" w:color="000000"/>
            </w:tcBorders>
            <w:hideMark/>
          </w:tcPr>
          <w:p w14:paraId="6FE95577" w14:textId="77777777" w:rsidR="006D54A8" w:rsidRPr="003456ED" w:rsidRDefault="006D54A8">
            <w:pPr>
              <w:rPr>
                <w:lang w:bidi="en-GB"/>
              </w:rPr>
            </w:pPr>
            <w:r w:rsidRPr="003456ED">
              <w:rPr>
                <w:lang w:bidi="en-GB"/>
              </w:rPr>
              <w:t xml:space="preserve"> Bueno Legal</w:t>
            </w:r>
          </w:p>
        </w:tc>
      </w:tr>
      <w:tr w:rsidR="006D54A8" w:rsidRPr="003456ED" w14:paraId="40C1218E" w14:textId="77777777" w:rsidTr="006D54A8">
        <w:trPr>
          <w:trHeight w:val="278"/>
        </w:trPr>
        <w:tc>
          <w:tcPr>
            <w:tcW w:w="9067" w:type="dxa"/>
            <w:tcBorders>
              <w:top w:val="single" w:sz="4" w:space="0" w:color="000000"/>
              <w:left w:val="single" w:sz="4" w:space="0" w:color="000000"/>
              <w:bottom w:val="single" w:sz="4" w:space="0" w:color="000000"/>
              <w:right w:val="single" w:sz="4" w:space="0" w:color="000000"/>
            </w:tcBorders>
            <w:hideMark/>
          </w:tcPr>
          <w:p w14:paraId="15D252DA" w14:textId="77777777" w:rsidR="006D54A8" w:rsidRPr="003456ED" w:rsidRDefault="006D54A8">
            <w:pPr>
              <w:rPr>
                <w:lang w:bidi="en-GB"/>
              </w:rPr>
            </w:pPr>
            <w:r w:rsidRPr="003456ED">
              <w:rPr>
                <w:lang w:bidi="en-GB"/>
              </w:rPr>
              <w:t xml:space="preserve"> Osnabrück University</w:t>
            </w:r>
          </w:p>
        </w:tc>
      </w:tr>
      <w:tr w:rsidR="00202C8B" w:rsidRPr="003456ED" w14:paraId="10B72C50" w14:textId="77777777" w:rsidTr="006D54A8">
        <w:trPr>
          <w:trHeight w:val="278"/>
        </w:trPr>
        <w:tc>
          <w:tcPr>
            <w:tcW w:w="9067" w:type="dxa"/>
            <w:tcBorders>
              <w:top w:val="single" w:sz="4" w:space="0" w:color="000000"/>
              <w:left w:val="single" w:sz="4" w:space="0" w:color="000000"/>
              <w:bottom w:val="single" w:sz="4" w:space="0" w:color="000000"/>
              <w:right w:val="single" w:sz="4" w:space="0" w:color="000000"/>
            </w:tcBorders>
          </w:tcPr>
          <w:p w14:paraId="4C310C71" w14:textId="77777777" w:rsidR="00202C8B" w:rsidRPr="003456ED" w:rsidRDefault="00253BA9">
            <w:pPr>
              <w:rPr>
                <w:lang w:bidi="en-GB"/>
              </w:rPr>
            </w:pPr>
            <w:r w:rsidRPr="003456ED">
              <w:rPr>
                <w:lang w:bidi="en-GB"/>
              </w:rPr>
              <w:t xml:space="preserve"> </w:t>
            </w:r>
            <w:r w:rsidR="00202C8B" w:rsidRPr="003456ED">
              <w:rPr>
                <w:lang w:bidi="en-GB"/>
              </w:rPr>
              <w:t>Mittelstandsverbund</w:t>
            </w:r>
          </w:p>
        </w:tc>
      </w:tr>
    </w:tbl>
    <w:p w14:paraId="5E2BA3B2" w14:textId="77777777" w:rsidR="00366AFE" w:rsidRPr="003456ED" w:rsidRDefault="00366AFE">
      <w:pPr>
        <w:pStyle w:val="Normal12Hanging"/>
      </w:pPr>
    </w:p>
    <w:p w14:paraId="4B33CB11" w14:textId="77777777" w:rsidR="00E90C5F" w:rsidRPr="003456ED" w:rsidRDefault="00E90C5F">
      <w:pPr>
        <w:widowControl/>
      </w:pPr>
      <w:r w:rsidRPr="003456ED">
        <w:br w:type="page"/>
      </w:r>
    </w:p>
    <w:p w14:paraId="1D021821" w14:textId="77777777" w:rsidR="00E90C5F" w:rsidRPr="003456ED" w:rsidRDefault="00E90C5F" w:rsidP="00E90C5F"/>
    <w:p w14:paraId="7464725E" w14:textId="77777777" w:rsidR="00E90C5F" w:rsidRPr="003456ED" w:rsidRDefault="00E90C5F" w:rsidP="00E90C5F">
      <w:pPr>
        <w:pStyle w:val="ZDate"/>
        <w:spacing w:after="480"/>
      </w:pPr>
      <w:r w:rsidRPr="003456ED">
        <w:rPr>
          <w:rStyle w:val="HideTWBExt"/>
          <w:noProof w:val="0"/>
        </w:rPr>
        <w:t>&lt;Date&gt;</w:t>
      </w:r>
      <w:r w:rsidRPr="003456ED">
        <w:rPr>
          <w:rStyle w:val="HideTWBInt"/>
        </w:rPr>
        <w:t>{29/03/2017}</w:t>
      </w:r>
      <w:r w:rsidRPr="003456ED">
        <w:t>29.3.2017</w:t>
      </w:r>
      <w:r w:rsidRPr="003456ED">
        <w:rPr>
          <w:rStyle w:val="HideTWBExt"/>
          <w:noProof w:val="0"/>
        </w:rPr>
        <w:t>&lt;/Date&gt;</w:t>
      </w:r>
    </w:p>
    <w:p w14:paraId="4C846BD2" w14:textId="77777777" w:rsidR="00E90C5F" w:rsidRPr="003456ED" w:rsidRDefault="00E90C5F" w:rsidP="00E90C5F">
      <w:pPr>
        <w:pStyle w:val="PageHeading"/>
        <w:spacing w:before="0" w:after="720"/>
      </w:pPr>
      <w:bookmarkStart w:id="3" w:name="_Toc482779349"/>
      <w:r w:rsidRPr="003456ED">
        <w:t xml:space="preserve">OPINION </w:t>
      </w:r>
      <w:r w:rsidRPr="003456ED">
        <w:rPr>
          <w:rStyle w:val="HideTWBExt"/>
          <w:noProof w:val="0"/>
        </w:rPr>
        <w:t>&lt;CommissionResp&gt;</w:t>
      </w:r>
      <w:bookmarkStart w:id="4" w:name="OpinionToc_1"/>
      <w:r w:rsidRPr="003456ED">
        <w:rPr>
          <w:caps/>
        </w:rPr>
        <w:t>of the Committee on Economic and Monetary Affairs</w:t>
      </w:r>
      <w:bookmarkEnd w:id="3"/>
      <w:bookmarkEnd w:id="4"/>
      <w:r w:rsidRPr="003456ED">
        <w:rPr>
          <w:rStyle w:val="HideTWBExt"/>
          <w:noProof w:val="0"/>
        </w:rPr>
        <w:t>&lt;/CommissionResp&gt;</w:t>
      </w:r>
    </w:p>
    <w:p w14:paraId="0F2931E1" w14:textId="77777777" w:rsidR="00E90C5F" w:rsidRPr="003456ED" w:rsidRDefault="00E90C5F" w:rsidP="00E90C5F">
      <w:pPr>
        <w:pStyle w:val="Cover24"/>
        <w:ind w:left="0"/>
      </w:pPr>
      <w:r w:rsidRPr="003456ED">
        <w:rPr>
          <w:rStyle w:val="HideTWBExt"/>
          <w:noProof w:val="0"/>
        </w:rPr>
        <w:t>&lt;CommissionInt&gt;</w:t>
      </w:r>
      <w:r w:rsidRPr="003456ED">
        <w:t xml:space="preserve">for the Committee on Internal Market and Consumer Protection </w:t>
      </w:r>
      <w:r w:rsidRPr="003456ED">
        <w:rPr>
          <w:rStyle w:val="HideTWBExt"/>
          <w:noProof w:val="0"/>
        </w:rPr>
        <w:t>&lt;/CommissionInt&gt;</w:t>
      </w:r>
    </w:p>
    <w:p w14:paraId="3A6B4F5E" w14:textId="77777777" w:rsidR="00E90C5F" w:rsidRPr="003456ED" w:rsidRDefault="00E90C5F" w:rsidP="00E90C5F">
      <w:pPr>
        <w:pStyle w:val="CoverNormal"/>
        <w:ind w:left="0"/>
      </w:pPr>
      <w:r w:rsidRPr="003456ED">
        <w:rPr>
          <w:rStyle w:val="HideTWBExt"/>
          <w:noProof w:val="0"/>
        </w:rPr>
        <w:t>&lt;Titre&gt;</w:t>
      </w:r>
      <w:r w:rsidRPr="003456ED">
        <w:t>on the functioning of franchising in the retail sector</w:t>
      </w:r>
      <w:r w:rsidRPr="003456ED">
        <w:rPr>
          <w:rStyle w:val="HideTWBExt"/>
          <w:noProof w:val="0"/>
        </w:rPr>
        <w:t>&lt;/Titre&gt;</w:t>
      </w:r>
    </w:p>
    <w:p w14:paraId="41D09FB1" w14:textId="77777777" w:rsidR="00E90C5F" w:rsidRPr="003456ED" w:rsidRDefault="00E90C5F" w:rsidP="00E90C5F">
      <w:pPr>
        <w:pStyle w:val="Cover24"/>
        <w:ind w:left="0"/>
      </w:pPr>
      <w:r w:rsidRPr="003456ED">
        <w:rPr>
          <w:rStyle w:val="HideTWBExt"/>
          <w:noProof w:val="0"/>
        </w:rPr>
        <w:t>&lt;DocRef&gt;</w:t>
      </w:r>
      <w:r w:rsidRPr="003456ED">
        <w:t>(2016/2244(INI))</w:t>
      </w:r>
      <w:r w:rsidRPr="003456ED">
        <w:rPr>
          <w:rStyle w:val="HideTWBExt"/>
          <w:noProof w:val="0"/>
        </w:rPr>
        <w:t>&lt;/DocRef&gt;</w:t>
      </w:r>
    </w:p>
    <w:p w14:paraId="7B8B1B45" w14:textId="77777777" w:rsidR="00E90C5F" w:rsidRPr="003456ED" w:rsidRDefault="00E90C5F" w:rsidP="00E90C5F">
      <w:pPr>
        <w:pStyle w:val="Cover24"/>
        <w:ind w:left="0"/>
      </w:pPr>
      <w:r w:rsidRPr="003456ED">
        <w:t xml:space="preserve">Rapporteur (*): </w:t>
      </w:r>
      <w:r w:rsidRPr="003456ED">
        <w:rPr>
          <w:rStyle w:val="HideTWBExt"/>
          <w:noProof w:val="0"/>
        </w:rPr>
        <w:t>&lt;Depute&gt;</w:t>
      </w:r>
      <w:r w:rsidRPr="003456ED">
        <w:t>Doru-Claudian Frunzulică</w:t>
      </w:r>
      <w:r w:rsidRPr="003456ED">
        <w:rPr>
          <w:rStyle w:val="HideTWBExt"/>
          <w:noProof w:val="0"/>
        </w:rPr>
        <w:t>&lt;/Depute&gt;</w:t>
      </w:r>
    </w:p>
    <w:p w14:paraId="22A21B55" w14:textId="77777777" w:rsidR="00E90C5F" w:rsidRPr="003456ED" w:rsidRDefault="00E90C5F" w:rsidP="00E90C5F">
      <w:pPr>
        <w:pStyle w:val="CoverNormal"/>
        <w:ind w:left="0"/>
      </w:pPr>
      <w:r w:rsidRPr="003456ED">
        <w:t>(*) Associated committee – Rule 54 of the Rules of Procedure</w:t>
      </w:r>
    </w:p>
    <w:p w14:paraId="3FFF49B2" w14:textId="77777777" w:rsidR="00E90C5F" w:rsidRPr="003456ED" w:rsidRDefault="00E90C5F" w:rsidP="00E856D2">
      <w:pPr>
        <w:widowControl/>
        <w:tabs>
          <w:tab w:val="center" w:pos="4677"/>
        </w:tabs>
      </w:pPr>
    </w:p>
    <w:p w14:paraId="3FBB05E2" w14:textId="77777777" w:rsidR="00E90C5F" w:rsidRPr="003456ED" w:rsidRDefault="00E90C5F">
      <w:pPr>
        <w:pStyle w:val="PageHeadingNotTOC"/>
      </w:pPr>
      <w:r w:rsidRPr="003456ED">
        <w:t>SUGGESTIONS</w:t>
      </w:r>
    </w:p>
    <w:p w14:paraId="04DD8F3D" w14:textId="77777777" w:rsidR="00E90C5F" w:rsidRPr="003456ED" w:rsidRDefault="00E90C5F">
      <w:pPr>
        <w:pStyle w:val="Normal12Tab"/>
      </w:pPr>
      <w:r w:rsidRPr="003456ED">
        <w:t>The Committee on Economic and Monetary Affairs calls on the Committee on the Internal Market and Consumer Protection, as the committee responsible, to incorporate the following suggestions into its motion for a resolution:</w:t>
      </w:r>
    </w:p>
    <w:p w14:paraId="42CCCC5C" w14:textId="77777777" w:rsidR="00E90C5F" w:rsidRPr="003456ED" w:rsidRDefault="00E90C5F" w:rsidP="00AB621F">
      <w:pPr>
        <w:pStyle w:val="Hanging12"/>
      </w:pPr>
      <w:r w:rsidRPr="003456ED">
        <w:t>1.</w:t>
      </w:r>
      <w:r w:rsidRPr="003456ED">
        <w:tab/>
        <w:t>Emphasises that Commission Regulation (EU) No 330/2010 must be uniformly applied in the Member States and regrets the lack of information about its application; highlights the growth of e-commerce and its impact on the franchise business model as a challenge for the sector;</w:t>
      </w:r>
    </w:p>
    <w:p w14:paraId="45C8BDEA" w14:textId="77777777" w:rsidR="00E90C5F" w:rsidRPr="003456ED" w:rsidRDefault="00E90C5F" w:rsidP="00AB621F">
      <w:pPr>
        <w:pStyle w:val="Hanging12"/>
      </w:pPr>
      <w:r w:rsidRPr="003456ED">
        <w:t>2.</w:t>
      </w:r>
      <w:r w:rsidRPr="003456ED">
        <w:tab/>
        <w:t>Considers that the Commission should ensure balanced representation of the two parties in the franchising and check whether the effectiveness of that regulation is not being undermined as a result of uneven application in the Member States and whether it is in line with recent market developments, in particular the exempted post-contractual clauses and purchasing conditions;</w:t>
      </w:r>
    </w:p>
    <w:p w14:paraId="412A8157" w14:textId="77777777" w:rsidR="00E90C5F" w:rsidRPr="003456ED" w:rsidRDefault="00E90C5F" w:rsidP="00AB621F">
      <w:pPr>
        <w:pStyle w:val="Hanging12"/>
      </w:pPr>
      <w:r w:rsidRPr="003456ED">
        <w:t>3.</w:t>
      </w:r>
      <w:r w:rsidRPr="003456ED">
        <w:tab/>
        <w:t>Considers that the Commission should check to what extent application of the regulation could be improved through a mechanism of assessment within the European network of competition authorities; stresses that the inconsistent follow-up action by the Commission prevents cross-border retail activity and fails to create a level playing field within the single market;</w:t>
      </w:r>
    </w:p>
    <w:p w14:paraId="16B0BD73" w14:textId="77777777" w:rsidR="00E90C5F" w:rsidRPr="003456ED" w:rsidRDefault="00E90C5F" w:rsidP="00AB621F">
      <w:pPr>
        <w:pStyle w:val="Hanging12"/>
      </w:pPr>
      <w:r w:rsidRPr="003456ED">
        <w:t>4.</w:t>
      </w:r>
      <w:r w:rsidRPr="003456ED">
        <w:tab/>
        <w:t>Points out that some Member States already have legislation on franchising, which ultimately results in further fragmentation of the market; believes that better implementation of the regulation at national level would improve distribution, increase market access for other Member States’ businesses and eventually provide a better deal for end consumers;</w:t>
      </w:r>
    </w:p>
    <w:p w14:paraId="1560AC43" w14:textId="77777777" w:rsidR="00E90C5F" w:rsidRPr="003456ED" w:rsidRDefault="00E90C5F" w:rsidP="00AB621F">
      <w:pPr>
        <w:pStyle w:val="Hanging12"/>
      </w:pPr>
      <w:r w:rsidRPr="003456ED">
        <w:t>5.</w:t>
      </w:r>
      <w:r w:rsidRPr="003456ED">
        <w:tab/>
        <w:t>Believes that the Commission should also analyse the unintended impact of competition law in each and every Member State;</w:t>
      </w:r>
    </w:p>
    <w:p w14:paraId="38BD44C2" w14:textId="77777777" w:rsidR="00E90C5F" w:rsidRPr="003456ED" w:rsidRDefault="00E90C5F" w:rsidP="00AB621F">
      <w:pPr>
        <w:pStyle w:val="Hanging12"/>
      </w:pPr>
      <w:r w:rsidRPr="003456ED">
        <w:t>6.</w:t>
      </w:r>
      <w:r w:rsidRPr="003456ED">
        <w:tab/>
        <w:t>Encourages the Commission to start public consultations and inform the Parliament of the suitability of the model on which the future block exemption regulation is based, in order to establish a concept for the franchising contract to be used in any future EU legislation, as well as for possible action in the area of private law;</w:t>
      </w:r>
    </w:p>
    <w:p w14:paraId="500385B7" w14:textId="77777777" w:rsidR="00E90C5F" w:rsidRPr="003456ED" w:rsidRDefault="00E90C5F" w:rsidP="00AB621F">
      <w:pPr>
        <w:pStyle w:val="Hanging12"/>
      </w:pPr>
      <w:r w:rsidRPr="003456ED">
        <w:t>7.</w:t>
      </w:r>
      <w:r w:rsidRPr="003456ED">
        <w:tab/>
        <w:t>Calls on the Commission to also ensure the recovery of any illegal state aid by means of tax advantages in the area of franchising and to show firmness in the conduct of ongoing inquiries; stresses, moreover, that the EU needs to have clearer legislation on tax rulings; calls on the Commission to rectify any infringement in the area of franchising with a view to ensuring fair competition across the single market;</w:t>
      </w:r>
    </w:p>
    <w:p w14:paraId="322DA302" w14:textId="77777777" w:rsidR="00E90C5F" w:rsidRPr="003456ED" w:rsidRDefault="00E90C5F" w:rsidP="00AB621F">
      <w:pPr>
        <w:pStyle w:val="Hanging12"/>
      </w:pPr>
      <w:r w:rsidRPr="003456ED">
        <w:t>8.</w:t>
      </w:r>
      <w:r w:rsidRPr="003456ED">
        <w:tab/>
        <w:t>Considers the need to evaluate the effectiveness of the self-regulatory framework and the EU supply chain initiative, as membership of the national franchise organisations is a pre-requisite for participation in this initiative;</w:t>
      </w:r>
    </w:p>
    <w:p w14:paraId="1BD3624A" w14:textId="77777777" w:rsidR="00E90C5F" w:rsidRPr="003456ED" w:rsidRDefault="00E90C5F" w:rsidP="00AB621F">
      <w:pPr>
        <w:pStyle w:val="Hanging12"/>
      </w:pPr>
      <w:r w:rsidRPr="003456ED">
        <w:t>9.</w:t>
      </w:r>
      <w:r w:rsidRPr="003456ED">
        <w:tab/>
        <w:t xml:space="preserve">Calls on the Commission to check whether it is necessary to revise the regulation and, in that connection, to verify and inform Parliament as regards (1) the impact of the horizontal approach on the functioning of franchising; (2) whether the model of franchising adopted in the regulation reflects the market reality; (3) to what extent the so-called ‘permitted vertical restraints’, i.e. the conditions under which the franchisees may purchase, sell or resell certain goods or services are proportionate and have a negative effect on the market and the consumers; (4) what new challenges franchisors and franchisees have to face in the context of e-commerce and digitisation in general; (5) and to collect market information in terms of new trends, market development regarding network organisation and technological advances; </w:t>
      </w:r>
    </w:p>
    <w:p w14:paraId="176E6D34" w14:textId="77777777" w:rsidR="00E90C5F" w:rsidRPr="003456ED" w:rsidRDefault="00E90C5F" w:rsidP="00AB621F">
      <w:pPr>
        <w:pStyle w:val="Hanging12"/>
      </w:pPr>
      <w:r w:rsidRPr="003456ED">
        <w:t>10.</w:t>
      </w:r>
      <w:r w:rsidRPr="003456ED">
        <w:tab/>
        <w:t>Notes that national rules vary greatly from one Member State to another; stresses that the European Parliament should be actively involved in all work on franchising in the retail sector, including when regulations and directives on franchising are adapted in order to achieve a more consistent and coherent regulatory framework;</w:t>
      </w:r>
    </w:p>
    <w:p w14:paraId="02601FD6" w14:textId="77777777" w:rsidR="00E90C5F" w:rsidRPr="003456ED" w:rsidRDefault="00E90C5F" w:rsidP="00AB621F">
      <w:pPr>
        <w:pStyle w:val="Hanging12"/>
      </w:pPr>
      <w:r w:rsidRPr="003456ED">
        <w:t>11.</w:t>
      </w:r>
      <w:r w:rsidRPr="003456ED">
        <w:tab/>
        <w:t>Believes that a model should be set up by the Member States for reporting, for making complaints and for submitting other relevant information they receive via a contact point or in any other way, with a view to simplifying the information-gathering process as regards the market situation; calls on the Commission to draw up, on the basis of that information, a non-exhaustive list of unfair contractual terms and practices;</w:t>
      </w:r>
    </w:p>
    <w:p w14:paraId="3CB21435" w14:textId="77777777" w:rsidR="00E90C5F" w:rsidRPr="003456ED" w:rsidRDefault="00E90C5F" w:rsidP="00AB621F">
      <w:pPr>
        <w:pStyle w:val="Hanging12"/>
      </w:pPr>
      <w:r w:rsidRPr="003456ED">
        <w:t>12.</w:t>
      </w:r>
      <w:r w:rsidRPr="003456ED">
        <w:tab/>
        <w:t>Acknowledges that, on a national level, legislation has been enacted to protect franchisees, but the focus is on the pre-contractual stage, to impose disclosure obligations on the franchisor; calls therefore on the Commission to revise the rules on the enforcement of the regulation by Member States, while its application should be proportionally adjusted to fulfil its aim; regrets that national systems have not provided for enforcement mechanisms which are efficient in assuring continuation of the franchise relationship;</w:t>
      </w:r>
    </w:p>
    <w:p w14:paraId="16BE0954" w14:textId="77777777" w:rsidR="00E90C5F" w:rsidRPr="003456ED" w:rsidRDefault="00E90C5F" w:rsidP="00AB621F">
      <w:pPr>
        <w:pStyle w:val="Hanging12"/>
      </w:pPr>
      <w:r w:rsidRPr="003456ED">
        <w:t>13.</w:t>
      </w:r>
      <w:r w:rsidRPr="003456ED">
        <w:tab/>
        <w:t>Calls on the Commission to work towards an appropriate and independent representation of the interested parties to franchising contracts in the European supply chain initiative, and to take action to strengthen the self-organisation of franchisees at the EU and national level, in order to allow franchisees to better participate in the public debate on franchising and establish a level playing field; stresses that regulation should maintain and increase market confidence in franchising as a way of doing business as it encourages entrepreneurship not only in micro- and small and medium-sized enterprises that become franchisors, but also for individuals who become franchisees;</w:t>
      </w:r>
    </w:p>
    <w:p w14:paraId="13789E5B" w14:textId="77777777" w:rsidR="00E90C5F" w:rsidRPr="003456ED" w:rsidRDefault="00E90C5F" w:rsidP="00AB621F">
      <w:pPr>
        <w:pStyle w:val="Hanging12"/>
      </w:pPr>
      <w:r w:rsidRPr="003456ED">
        <w:t>14.</w:t>
      </w:r>
      <w:r w:rsidRPr="003456ED">
        <w:tab/>
        <w:t xml:space="preserve">Calls on the Commission to introduce guidelines on franchising contracts, in order to better shape the normative environment of franchising contracts ensuring compliance with labour standards and decent and high-quality service; </w:t>
      </w:r>
    </w:p>
    <w:p w14:paraId="155FBD70" w14:textId="77777777" w:rsidR="00E90C5F" w:rsidRPr="003456ED" w:rsidRDefault="00E90C5F" w:rsidP="00AB621F">
      <w:pPr>
        <w:pStyle w:val="Hanging12"/>
      </w:pPr>
      <w:r w:rsidRPr="003456ED">
        <w:t>15.</w:t>
      </w:r>
      <w:r w:rsidRPr="003456ED">
        <w:tab/>
        <w:t>Calls on the Commission to correct market failures and ensure an effective fight against tax evasion and tax avoidance in the field of franchising; stresses the need for a multi-stakeholder debate to discuss unfair trading practices in franchise supply chains and possible solutions through the organisation of an expert platform, as has been the case with food supply chains, or by opening a public consultation on any future regulation.</w:t>
      </w:r>
    </w:p>
    <w:p w14:paraId="14F323E4" w14:textId="77777777" w:rsidR="00E90C5F" w:rsidRPr="003456ED" w:rsidRDefault="00E90C5F" w:rsidP="00AB4A56">
      <w:r w:rsidRPr="003456ED">
        <w:br w:type="page"/>
      </w:r>
    </w:p>
    <w:p w14:paraId="4EB4B021" w14:textId="77777777" w:rsidR="00E90C5F" w:rsidRPr="003456ED" w:rsidRDefault="00E90C5F" w:rsidP="00C04938">
      <w:pPr>
        <w:pStyle w:val="PageHeadingNotTOC"/>
      </w:pPr>
      <w:r w:rsidRPr="003456ED">
        <w:t>INFORMATION ON ADOPTION IN COMMITTEE ASKED FOR OPINION</w:t>
      </w:r>
    </w:p>
    <w:tbl>
      <w:tblPr>
        <w:tblW w:w="0" w:type="auto"/>
        <w:tblInd w:w="-10"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E90C5F" w:rsidRPr="003456ED" w14:paraId="6D4FB428"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04D5B4B7" w14:textId="77777777" w:rsidR="00E90C5F" w:rsidRPr="003456ED" w:rsidRDefault="00E90C5F">
            <w:pPr>
              <w:autoSpaceDE w:val="0"/>
              <w:autoSpaceDN w:val="0"/>
              <w:adjustRightInd w:val="0"/>
              <w:rPr>
                <w:b/>
                <w:bCs/>
                <w:color w:val="000000"/>
                <w:sz w:val="20"/>
              </w:rPr>
            </w:pPr>
            <w:r w:rsidRPr="003456ED">
              <w:rPr>
                <w:b/>
                <w:bCs/>
                <w:color w:val="000000"/>
                <w:sz w:val="20"/>
              </w:rPr>
              <w:t>Date adopted</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158271FA" w14:textId="77777777" w:rsidR="00E90C5F" w:rsidRPr="003456ED" w:rsidRDefault="00E90C5F">
            <w:pPr>
              <w:autoSpaceDE w:val="0"/>
              <w:autoSpaceDN w:val="0"/>
              <w:adjustRightInd w:val="0"/>
              <w:rPr>
                <w:color w:val="000000"/>
                <w:sz w:val="20"/>
              </w:rPr>
            </w:pPr>
            <w:r w:rsidRPr="003456ED">
              <w:rPr>
                <w:color w:val="000000"/>
                <w:sz w:val="20"/>
              </w:rPr>
              <w:t>27.3.2017</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485B3EB7" w14:textId="77777777" w:rsidR="00E90C5F" w:rsidRPr="003456ED" w:rsidRDefault="00E90C5F">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6F81C37A" w14:textId="77777777" w:rsidR="00E90C5F" w:rsidRPr="003456ED" w:rsidRDefault="00E90C5F">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603506B8" w14:textId="77777777" w:rsidR="00E90C5F" w:rsidRPr="003456ED" w:rsidRDefault="00E90C5F">
            <w:pPr>
              <w:autoSpaceDE w:val="0"/>
              <w:autoSpaceDN w:val="0"/>
              <w:adjustRightInd w:val="0"/>
              <w:rPr>
                <w:rFonts w:ascii="sans-serif" w:hAnsi="sans-serif" w:cs="sans-serif"/>
                <w:color w:val="000000"/>
                <w:szCs w:val="24"/>
              </w:rPr>
            </w:pPr>
          </w:p>
        </w:tc>
      </w:tr>
      <w:tr w:rsidR="00E90C5F" w:rsidRPr="003456ED" w14:paraId="2100680E"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25BF5147" w14:textId="77777777" w:rsidR="00E90C5F" w:rsidRPr="003456ED" w:rsidRDefault="00E90C5F">
            <w:pPr>
              <w:autoSpaceDE w:val="0"/>
              <w:autoSpaceDN w:val="0"/>
              <w:adjustRightInd w:val="0"/>
              <w:rPr>
                <w:b/>
                <w:bCs/>
                <w:color w:val="000000"/>
                <w:sz w:val="20"/>
              </w:rPr>
            </w:pPr>
            <w:r w:rsidRPr="003456ED">
              <w:rPr>
                <w:b/>
                <w:bCs/>
                <w:color w:val="000000"/>
                <w:sz w:val="20"/>
              </w:rPr>
              <w:t>Result of final vote</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379DD641" w14:textId="77777777" w:rsidR="00E90C5F" w:rsidRPr="003456ED" w:rsidRDefault="00E90C5F">
            <w:pPr>
              <w:autoSpaceDE w:val="0"/>
              <w:autoSpaceDN w:val="0"/>
              <w:adjustRightInd w:val="0"/>
              <w:rPr>
                <w:color w:val="000000"/>
                <w:sz w:val="20"/>
              </w:rPr>
            </w:pPr>
            <w:r w:rsidRPr="003456ED">
              <w:rPr>
                <w:color w:val="000000"/>
                <w:sz w:val="20"/>
              </w:rPr>
              <w:t>+:</w:t>
            </w:r>
          </w:p>
          <w:p w14:paraId="3D313DB3" w14:textId="77777777" w:rsidR="00E90C5F" w:rsidRPr="003456ED" w:rsidRDefault="00E90C5F">
            <w:pPr>
              <w:autoSpaceDE w:val="0"/>
              <w:autoSpaceDN w:val="0"/>
              <w:adjustRightInd w:val="0"/>
              <w:rPr>
                <w:color w:val="000000"/>
                <w:sz w:val="20"/>
              </w:rPr>
            </w:pPr>
            <w:r w:rsidRPr="003456ED">
              <w:rPr>
                <w:color w:val="000000"/>
                <w:sz w:val="20"/>
              </w:rPr>
              <w:t>–:</w:t>
            </w:r>
          </w:p>
          <w:p w14:paraId="2518DDD0" w14:textId="77777777" w:rsidR="00E90C5F" w:rsidRPr="003456ED" w:rsidRDefault="00E90C5F">
            <w:pPr>
              <w:autoSpaceDE w:val="0"/>
              <w:autoSpaceDN w:val="0"/>
              <w:adjustRightInd w:val="0"/>
              <w:rPr>
                <w:color w:val="000000"/>
                <w:sz w:val="20"/>
              </w:rPr>
            </w:pPr>
            <w:r w:rsidRPr="003456ED">
              <w:rPr>
                <w:color w:val="000000"/>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4602299D" w14:textId="77777777" w:rsidR="00E90C5F" w:rsidRPr="003456ED" w:rsidRDefault="00E90C5F">
            <w:pPr>
              <w:autoSpaceDE w:val="0"/>
              <w:autoSpaceDN w:val="0"/>
              <w:adjustRightInd w:val="0"/>
              <w:rPr>
                <w:color w:val="000000"/>
                <w:sz w:val="20"/>
              </w:rPr>
            </w:pPr>
            <w:r w:rsidRPr="003456ED">
              <w:rPr>
                <w:color w:val="000000"/>
                <w:sz w:val="20"/>
              </w:rPr>
              <w:t>42</w:t>
            </w:r>
          </w:p>
          <w:p w14:paraId="5C033696" w14:textId="77777777" w:rsidR="00E90C5F" w:rsidRPr="003456ED" w:rsidRDefault="00E90C5F">
            <w:pPr>
              <w:autoSpaceDE w:val="0"/>
              <w:autoSpaceDN w:val="0"/>
              <w:adjustRightInd w:val="0"/>
              <w:rPr>
                <w:color w:val="000000"/>
                <w:sz w:val="20"/>
              </w:rPr>
            </w:pPr>
            <w:r w:rsidRPr="003456ED">
              <w:rPr>
                <w:color w:val="000000"/>
                <w:sz w:val="20"/>
              </w:rPr>
              <w:t>1</w:t>
            </w:r>
          </w:p>
          <w:p w14:paraId="02520E6F" w14:textId="77777777" w:rsidR="00E90C5F" w:rsidRPr="003456ED" w:rsidRDefault="00E90C5F">
            <w:pPr>
              <w:autoSpaceDE w:val="0"/>
              <w:autoSpaceDN w:val="0"/>
              <w:adjustRightInd w:val="0"/>
              <w:rPr>
                <w:color w:val="000000"/>
                <w:sz w:val="20"/>
              </w:rPr>
            </w:pPr>
            <w:r w:rsidRPr="003456ED">
              <w:rPr>
                <w:color w:val="000000"/>
                <w:sz w:val="20"/>
              </w:rPr>
              <w:t>1</w:t>
            </w:r>
          </w:p>
        </w:tc>
      </w:tr>
      <w:tr w:rsidR="00E90C5F" w:rsidRPr="003456ED" w14:paraId="23E94CC4"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27A4AF9D" w14:textId="77777777" w:rsidR="00E90C5F" w:rsidRPr="003456ED" w:rsidRDefault="00E90C5F">
            <w:pPr>
              <w:autoSpaceDE w:val="0"/>
              <w:autoSpaceDN w:val="0"/>
              <w:adjustRightInd w:val="0"/>
              <w:rPr>
                <w:b/>
                <w:bCs/>
                <w:color w:val="000000"/>
                <w:sz w:val="20"/>
              </w:rPr>
            </w:pPr>
            <w:r w:rsidRPr="003456ED">
              <w:rPr>
                <w:b/>
                <w:bCs/>
                <w:color w:val="000000"/>
                <w:sz w:val="20"/>
              </w:rPr>
              <w:t>Members present for the final vote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73F1F24C" w14:textId="77777777" w:rsidR="00E90C5F" w:rsidRPr="003456ED" w:rsidRDefault="00E90C5F">
            <w:pPr>
              <w:autoSpaceDE w:val="0"/>
              <w:autoSpaceDN w:val="0"/>
              <w:adjustRightInd w:val="0"/>
              <w:rPr>
                <w:color w:val="000000"/>
                <w:sz w:val="20"/>
              </w:rPr>
            </w:pPr>
            <w:r w:rsidRPr="003456ED">
              <w:rPr>
                <w:color w:val="000000"/>
                <w:sz w:val="20"/>
              </w:rPr>
              <w:t>Gerolf Annemans, Burkhard Balz, Hugues Bayet, Pervenche Berès, Udo Bullmann, Esther de Lange, Anneliese Dodds, Markus Ferber, Sven Giegold, Sylvie Goulard, Roberto Gualtieri, Brian Hayes, Gunnar Hökmark, Danuta Maria Hübner, Cătălin Sorin Ivan, Georgios Kyrtsos, Philippe Lamberts, Werner Langen, Sander Loones, Olle Ludvigsson, Ivana Maletić, Fulvio Martusciello, Marisa Matias, Costas Mavrides, Bernard Monot, Luigi Morgano, Luděk Niedermayer, Stanisław Ożóg, Sirpa Pietikäinen, Pirkko Ruohonen-Lerner, Molly Scott Cato, Pedro Silva Pereira, Peter Simon, Kay Swinburne, Paul Tang, Ernest Urtasun, Marco Valli, Tom Vandenkendelaere, Cora van Nieuwenhuizen, Jakob von Weizsäcker, Steven Woolfe</w:t>
            </w:r>
          </w:p>
        </w:tc>
      </w:tr>
      <w:tr w:rsidR="00E90C5F" w:rsidRPr="003456ED" w14:paraId="711047B6" w14:textId="7777777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4832B81F" w14:textId="77777777" w:rsidR="00E90C5F" w:rsidRPr="003456ED" w:rsidRDefault="00E90C5F">
            <w:pPr>
              <w:autoSpaceDE w:val="0"/>
              <w:autoSpaceDN w:val="0"/>
              <w:adjustRightInd w:val="0"/>
              <w:rPr>
                <w:b/>
                <w:bCs/>
                <w:color w:val="000000"/>
                <w:sz w:val="20"/>
              </w:rPr>
            </w:pPr>
            <w:r w:rsidRPr="003456ED">
              <w:rPr>
                <w:b/>
                <w:bCs/>
                <w:color w:val="000000"/>
                <w:sz w:val="20"/>
              </w:rPr>
              <w:t>Substitutes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5CCE4A96" w14:textId="77777777" w:rsidR="00E90C5F" w:rsidRPr="003456ED" w:rsidRDefault="00E90C5F">
            <w:pPr>
              <w:autoSpaceDE w:val="0"/>
              <w:autoSpaceDN w:val="0"/>
              <w:adjustRightInd w:val="0"/>
              <w:rPr>
                <w:color w:val="000000"/>
                <w:sz w:val="20"/>
              </w:rPr>
            </w:pPr>
            <w:r w:rsidRPr="003456ED">
              <w:rPr>
                <w:color w:val="000000"/>
                <w:sz w:val="20"/>
              </w:rPr>
              <w:t>Simona Bonafè, Enrique Calvet Chambon, David Coburn, Mady Delvaux, Doru-Claudian Frunzulică, Ildikó Gáll-Pelcz, Sophia in ‘t Veld, Thomas Mann, Joachim Starbatty, Nils Torvalds</w:t>
            </w:r>
          </w:p>
        </w:tc>
      </w:tr>
      <w:tr w:rsidR="00E90C5F" w:rsidRPr="003456ED" w14:paraId="772E220A" w14:textId="7777777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189C0E8D" w14:textId="77777777" w:rsidR="00E90C5F" w:rsidRPr="003456ED" w:rsidRDefault="00E90C5F">
            <w:pPr>
              <w:autoSpaceDE w:val="0"/>
              <w:autoSpaceDN w:val="0"/>
              <w:adjustRightInd w:val="0"/>
              <w:rPr>
                <w:b/>
                <w:bCs/>
                <w:color w:val="000000"/>
                <w:sz w:val="20"/>
              </w:rPr>
            </w:pPr>
            <w:r w:rsidRPr="003456ED">
              <w:rPr>
                <w:b/>
                <w:bCs/>
                <w:color w:val="000000"/>
                <w:sz w:val="20"/>
              </w:rPr>
              <w:t>Substitutes under Rule 200(2)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35E6ED66" w14:textId="77777777" w:rsidR="00E90C5F" w:rsidRPr="003456ED" w:rsidRDefault="00E90C5F">
            <w:pPr>
              <w:autoSpaceDE w:val="0"/>
              <w:autoSpaceDN w:val="0"/>
              <w:adjustRightInd w:val="0"/>
              <w:rPr>
                <w:color w:val="000000"/>
                <w:sz w:val="20"/>
              </w:rPr>
            </w:pPr>
            <w:r w:rsidRPr="003456ED">
              <w:rPr>
                <w:color w:val="000000"/>
                <w:sz w:val="20"/>
              </w:rPr>
              <w:t>Carlos Iturgaiz, Thomas Mann, Bogdan Andrzej Zdrojewski</w:t>
            </w:r>
          </w:p>
        </w:tc>
      </w:tr>
    </w:tbl>
    <w:p w14:paraId="3FDCDE7B" w14:textId="77777777" w:rsidR="00E90C5F" w:rsidRPr="003456ED" w:rsidRDefault="00E90C5F">
      <w:pPr>
        <w:autoSpaceDE w:val="0"/>
        <w:autoSpaceDN w:val="0"/>
        <w:adjustRightInd w:val="0"/>
        <w:rPr>
          <w:rFonts w:ascii="Arial" w:hAnsi="Arial" w:cs="Arial"/>
          <w:szCs w:val="24"/>
        </w:rPr>
      </w:pPr>
    </w:p>
    <w:p w14:paraId="174FF079" w14:textId="77777777" w:rsidR="00E90C5F" w:rsidRPr="003456ED" w:rsidRDefault="00E90C5F" w:rsidP="00C04938">
      <w:r w:rsidRPr="003456ED">
        <w:br w:type="page"/>
      </w:r>
    </w:p>
    <w:p w14:paraId="70C918FD" w14:textId="77777777" w:rsidR="00E90C5F" w:rsidRPr="003456ED" w:rsidRDefault="00E90C5F" w:rsidP="00C2406B">
      <w:pPr>
        <w:pStyle w:val="PageHeadingNotTOC"/>
      </w:pPr>
      <w:r w:rsidRPr="003456ED">
        <w:t>FINAL VOTE BY ROLL CALL IN COMMITTEE ASKED FOR OPINION</w:t>
      </w:r>
    </w:p>
    <w:tbl>
      <w:tblPr>
        <w:tblW w:w="9072" w:type="dxa"/>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E90C5F" w:rsidRPr="003456ED" w14:paraId="21A6B3A3" w14:textId="77777777" w:rsidTr="00B20D66">
        <w:trPr>
          <w:cantSplit/>
        </w:trPr>
        <w:tc>
          <w:tcPr>
            <w:tcW w:w="1701" w:type="dxa"/>
            <w:shd w:val="pct10" w:color="000000" w:fill="FFFFFF"/>
            <w:vAlign w:val="center"/>
          </w:tcPr>
          <w:p w14:paraId="6DD0833D" w14:textId="77777777" w:rsidR="00E90C5F" w:rsidRPr="003456ED" w:rsidRDefault="00E90C5F" w:rsidP="00B20D66">
            <w:pPr>
              <w:spacing w:before="120" w:after="120"/>
              <w:jc w:val="center"/>
              <w:rPr>
                <w:b/>
                <w:sz w:val="16"/>
              </w:rPr>
            </w:pPr>
            <w:r w:rsidRPr="003456ED">
              <w:rPr>
                <w:b/>
                <w:sz w:val="16"/>
              </w:rPr>
              <w:t>42</w:t>
            </w:r>
          </w:p>
        </w:tc>
        <w:tc>
          <w:tcPr>
            <w:tcW w:w="7371" w:type="dxa"/>
            <w:shd w:val="pct10" w:color="000000" w:fill="FFFFFF"/>
          </w:tcPr>
          <w:p w14:paraId="7347B990" w14:textId="77777777" w:rsidR="00E90C5F" w:rsidRPr="003456ED" w:rsidRDefault="00E90C5F" w:rsidP="00F94627">
            <w:pPr>
              <w:spacing w:before="120" w:after="120"/>
              <w:jc w:val="center"/>
              <w:rPr>
                <w:rFonts w:ascii="Arial" w:hAnsi="Arial" w:cs="Arial"/>
                <w:b/>
                <w:sz w:val="28"/>
                <w:szCs w:val="28"/>
              </w:rPr>
            </w:pPr>
            <w:r w:rsidRPr="003456ED">
              <w:rPr>
                <w:rFonts w:ascii="Arial" w:hAnsi="Arial" w:cs="Arial"/>
                <w:b/>
                <w:sz w:val="28"/>
                <w:szCs w:val="28"/>
              </w:rPr>
              <w:t>+</w:t>
            </w:r>
          </w:p>
        </w:tc>
      </w:tr>
      <w:tr w:rsidR="00E90C5F" w:rsidRPr="00DB522B" w14:paraId="3EE539DD" w14:textId="77777777" w:rsidTr="00B20D66">
        <w:trPr>
          <w:cantSplit/>
        </w:trPr>
        <w:tc>
          <w:tcPr>
            <w:tcW w:w="1701" w:type="dxa"/>
            <w:shd w:val="clear" w:color="auto" w:fill="FFFFFF"/>
          </w:tcPr>
          <w:p w14:paraId="13464477" w14:textId="77777777" w:rsidR="00E90C5F" w:rsidRPr="003456ED" w:rsidRDefault="00E90C5F" w:rsidP="00F94627">
            <w:pPr>
              <w:spacing w:before="120" w:after="120"/>
              <w:rPr>
                <w:sz w:val="16"/>
              </w:rPr>
            </w:pPr>
            <w:r w:rsidRPr="003456ED">
              <w:rPr>
                <w:sz w:val="16"/>
              </w:rPr>
              <w:t>ALDE</w:t>
            </w:r>
          </w:p>
        </w:tc>
        <w:tc>
          <w:tcPr>
            <w:tcW w:w="7371" w:type="dxa"/>
            <w:shd w:val="clear" w:color="auto" w:fill="FFFFFF"/>
          </w:tcPr>
          <w:p w14:paraId="09BD5151" w14:textId="77777777" w:rsidR="00E90C5F" w:rsidRPr="0021052C" w:rsidRDefault="00E90C5F" w:rsidP="00F94627">
            <w:pPr>
              <w:spacing w:before="120" w:after="120"/>
              <w:rPr>
                <w:sz w:val="16"/>
                <w:lang w:val="fr-FR"/>
              </w:rPr>
            </w:pPr>
            <w:r w:rsidRPr="0021052C">
              <w:rPr>
                <w:sz w:val="16"/>
                <w:lang w:val="fr-FR"/>
              </w:rPr>
              <w:t>Enrique Calvet Chambon, Sylvie Goulard, Nils Torvalds</w:t>
            </w:r>
          </w:p>
        </w:tc>
      </w:tr>
      <w:tr w:rsidR="00E90C5F" w:rsidRPr="003456ED" w14:paraId="3F270C04" w14:textId="77777777" w:rsidTr="00B20D66">
        <w:trPr>
          <w:cantSplit/>
        </w:trPr>
        <w:tc>
          <w:tcPr>
            <w:tcW w:w="1701" w:type="dxa"/>
            <w:shd w:val="clear" w:color="auto" w:fill="FFFFFF"/>
          </w:tcPr>
          <w:p w14:paraId="7AE997EB" w14:textId="77777777" w:rsidR="00E90C5F" w:rsidRPr="003456ED" w:rsidRDefault="00E90C5F" w:rsidP="00F94627">
            <w:pPr>
              <w:spacing w:before="120" w:after="120"/>
              <w:rPr>
                <w:sz w:val="16"/>
              </w:rPr>
            </w:pPr>
            <w:r w:rsidRPr="003456ED">
              <w:rPr>
                <w:sz w:val="16"/>
              </w:rPr>
              <w:t xml:space="preserve">ECR </w:t>
            </w:r>
          </w:p>
        </w:tc>
        <w:tc>
          <w:tcPr>
            <w:tcW w:w="7371" w:type="dxa"/>
            <w:shd w:val="clear" w:color="auto" w:fill="FFFFFF"/>
          </w:tcPr>
          <w:p w14:paraId="6E75FAE5" w14:textId="77777777" w:rsidR="00E90C5F" w:rsidRPr="003456ED" w:rsidRDefault="00E90C5F" w:rsidP="00F94627">
            <w:pPr>
              <w:spacing w:before="120" w:after="120"/>
              <w:rPr>
                <w:sz w:val="16"/>
              </w:rPr>
            </w:pPr>
            <w:r w:rsidRPr="003456ED">
              <w:rPr>
                <w:sz w:val="16"/>
              </w:rPr>
              <w:t>Sander Loones, Stanisław Ożóg, Pirkko Ruohonen-Lerner, Joachim Starbatty, Kay Swinburne</w:t>
            </w:r>
          </w:p>
        </w:tc>
      </w:tr>
      <w:tr w:rsidR="00E90C5F" w:rsidRPr="003456ED" w14:paraId="771B7F33" w14:textId="77777777" w:rsidTr="00B20D66">
        <w:trPr>
          <w:cantSplit/>
        </w:trPr>
        <w:tc>
          <w:tcPr>
            <w:tcW w:w="1701" w:type="dxa"/>
            <w:shd w:val="clear" w:color="auto" w:fill="FFFFFF"/>
          </w:tcPr>
          <w:p w14:paraId="5804D3C9" w14:textId="77777777" w:rsidR="00E90C5F" w:rsidRPr="003456ED" w:rsidRDefault="00E90C5F" w:rsidP="00F411EF">
            <w:pPr>
              <w:spacing w:before="120" w:after="120"/>
              <w:rPr>
                <w:sz w:val="16"/>
              </w:rPr>
            </w:pPr>
            <w:r w:rsidRPr="003456ED">
              <w:rPr>
                <w:sz w:val="16"/>
              </w:rPr>
              <w:t>EFDD</w:t>
            </w:r>
          </w:p>
        </w:tc>
        <w:tc>
          <w:tcPr>
            <w:tcW w:w="7371" w:type="dxa"/>
            <w:shd w:val="clear" w:color="auto" w:fill="FFFFFF"/>
          </w:tcPr>
          <w:p w14:paraId="4C3DBA28" w14:textId="77777777" w:rsidR="00E90C5F" w:rsidRPr="003456ED" w:rsidRDefault="00E90C5F" w:rsidP="00F94627">
            <w:pPr>
              <w:spacing w:before="120" w:after="120"/>
              <w:rPr>
                <w:sz w:val="16"/>
              </w:rPr>
            </w:pPr>
            <w:r w:rsidRPr="003456ED">
              <w:rPr>
                <w:sz w:val="16"/>
              </w:rPr>
              <w:t>Marco Valli</w:t>
            </w:r>
          </w:p>
        </w:tc>
      </w:tr>
      <w:tr w:rsidR="00E90C5F" w:rsidRPr="003456ED" w14:paraId="49FC9FE6" w14:textId="77777777" w:rsidTr="00B20D66">
        <w:trPr>
          <w:cantSplit/>
        </w:trPr>
        <w:tc>
          <w:tcPr>
            <w:tcW w:w="1701" w:type="dxa"/>
            <w:shd w:val="clear" w:color="auto" w:fill="FFFFFF"/>
          </w:tcPr>
          <w:p w14:paraId="74EBAC3A" w14:textId="77777777" w:rsidR="00E90C5F" w:rsidRPr="003456ED" w:rsidRDefault="00E90C5F" w:rsidP="00F94627">
            <w:pPr>
              <w:spacing w:before="120" w:after="120"/>
              <w:rPr>
                <w:sz w:val="16"/>
              </w:rPr>
            </w:pPr>
            <w:r w:rsidRPr="003456ED">
              <w:rPr>
                <w:sz w:val="16"/>
              </w:rPr>
              <w:t>GUE/NGL</w:t>
            </w:r>
          </w:p>
        </w:tc>
        <w:tc>
          <w:tcPr>
            <w:tcW w:w="7371" w:type="dxa"/>
            <w:shd w:val="clear" w:color="auto" w:fill="FFFFFF"/>
          </w:tcPr>
          <w:p w14:paraId="103B3212" w14:textId="77777777" w:rsidR="00E90C5F" w:rsidRPr="003456ED" w:rsidRDefault="00E90C5F" w:rsidP="00F94627">
            <w:pPr>
              <w:spacing w:before="120" w:after="120"/>
              <w:rPr>
                <w:sz w:val="16"/>
              </w:rPr>
            </w:pPr>
            <w:r w:rsidRPr="003456ED">
              <w:rPr>
                <w:sz w:val="16"/>
              </w:rPr>
              <w:t>Marisa Matias</w:t>
            </w:r>
          </w:p>
        </w:tc>
      </w:tr>
      <w:tr w:rsidR="00E90C5F" w:rsidRPr="003456ED" w14:paraId="371D96BE" w14:textId="77777777" w:rsidTr="00B20D66">
        <w:trPr>
          <w:cantSplit/>
        </w:trPr>
        <w:tc>
          <w:tcPr>
            <w:tcW w:w="1701" w:type="dxa"/>
            <w:shd w:val="clear" w:color="auto" w:fill="FFFFFF"/>
          </w:tcPr>
          <w:p w14:paraId="7B8F1FB4" w14:textId="77777777" w:rsidR="00E90C5F" w:rsidRPr="003456ED" w:rsidRDefault="00E90C5F" w:rsidP="00F94627">
            <w:pPr>
              <w:spacing w:before="120" w:after="120"/>
              <w:rPr>
                <w:sz w:val="16"/>
              </w:rPr>
            </w:pPr>
            <w:r w:rsidRPr="003456ED">
              <w:rPr>
                <w:sz w:val="16"/>
              </w:rPr>
              <w:t>PPE</w:t>
            </w:r>
          </w:p>
        </w:tc>
        <w:tc>
          <w:tcPr>
            <w:tcW w:w="7371" w:type="dxa"/>
            <w:shd w:val="clear" w:color="auto" w:fill="FFFFFF"/>
          </w:tcPr>
          <w:p w14:paraId="3CC044D6" w14:textId="77777777" w:rsidR="00E90C5F" w:rsidRPr="003456ED" w:rsidRDefault="00E90C5F" w:rsidP="00F411EF">
            <w:pPr>
              <w:spacing w:before="120" w:after="120"/>
              <w:rPr>
                <w:sz w:val="16"/>
              </w:rPr>
            </w:pPr>
            <w:r w:rsidRPr="003456ED">
              <w:rPr>
                <w:sz w:val="16"/>
              </w:rPr>
              <w:t>Burkhard Balz, Markus Ferber, Ildikó Gáll-Pelcz, Brian Hayes, Gunnar Hökmark, Danuta Maria Hübner, Carlos Iturgaiz, Georgios Kyrtsos, Werner Langen, Ivana Maletić, Thomas Mann, Luděk Niedermayer, Sirpa Pietikäinen, Bogdan Andrzej Zdrojewski</w:t>
            </w:r>
          </w:p>
        </w:tc>
      </w:tr>
      <w:tr w:rsidR="00E90C5F" w:rsidRPr="003456ED" w14:paraId="0D0FC996" w14:textId="77777777" w:rsidTr="00B20D66">
        <w:trPr>
          <w:cantSplit/>
        </w:trPr>
        <w:tc>
          <w:tcPr>
            <w:tcW w:w="1701" w:type="dxa"/>
            <w:shd w:val="clear" w:color="auto" w:fill="FFFFFF"/>
          </w:tcPr>
          <w:p w14:paraId="052CB811" w14:textId="77777777" w:rsidR="00E90C5F" w:rsidRPr="003456ED" w:rsidRDefault="00E90C5F" w:rsidP="00F94627">
            <w:pPr>
              <w:spacing w:before="120" w:after="120"/>
              <w:rPr>
                <w:sz w:val="16"/>
              </w:rPr>
            </w:pPr>
            <w:r w:rsidRPr="003456ED">
              <w:rPr>
                <w:sz w:val="16"/>
              </w:rPr>
              <w:t>S&amp;D</w:t>
            </w:r>
          </w:p>
        </w:tc>
        <w:tc>
          <w:tcPr>
            <w:tcW w:w="7371" w:type="dxa"/>
            <w:shd w:val="clear" w:color="auto" w:fill="FFFFFF"/>
          </w:tcPr>
          <w:p w14:paraId="1F9E0AC4" w14:textId="77777777" w:rsidR="00E90C5F" w:rsidRPr="003456ED" w:rsidRDefault="00E90C5F" w:rsidP="00F94627">
            <w:pPr>
              <w:spacing w:before="120" w:after="120"/>
              <w:rPr>
                <w:sz w:val="16"/>
              </w:rPr>
            </w:pPr>
            <w:r w:rsidRPr="003456ED">
              <w:rPr>
                <w:sz w:val="16"/>
              </w:rPr>
              <w:t>Hugues Bayet, Pervenche Berès, Udo Bullmann, Anneliese Dodds, Doru-Claudian Frunzulică, Roberto Gualtieri, Cătălin Sorin Ivan, Olle Ludvigsson, Costas Mavrides, Luigi Morgano, Pedro Silva Pereira, Peter Simon, Paul Tang, Jakob von Weizsäcker</w:t>
            </w:r>
          </w:p>
        </w:tc>
      </w:tr>
      <w:tr w:rsidR="00E90C5F" w:rsidRPr="003456ED" w14:paraId="08391B93" w14:textId="77777777" w:rsidTr="00B20D66">
        <w:trPr>
          <w:cantSplit/>
        </w:trPr>
        <w:tc>
          <w:tcPr>
            <w:tcW w:w="1701" w:type="dxa"/>
            <w:shd w:val="clear" w:color="auto" w:fill="FFFFFF"/>
          </w:tcPr>
          <w:p w14:paraId="31B544CD" w14:textId="77777777" w:rsidR="00E90C5F" w:rsidRPr="003456ED" w:rsidRDefault="00E90C5F" w:rsidP="00F94627">
            <w:pPr>
              <w:spacing w:before="120" w:after="120"/>
              <w:rPr>
                <w:sz w:val="16"/>
              </w:rPr>
            </w:pPr>
            <w:r w:rsidRPr="003456ED">
              <w:rPr>
                <w:sz w:val="16"/>
              </w:rPr>
              <w:t>Verts/ALE</w:t>
            </w:r>
          </w:p>
        </w:tc>
        <w:tc>
          <w:tcPr>
            <w:tcW w:w="7371" w:type="dxa"/>
            <w:shd w:val="clear" w:color="auto" w:fill="FFFFFF"/>
          </w:tcPr>
          <w:p w14:paraId="121D46FD" w14:textId="77777777" w:rsidR="00E90C5F" w:rsidRPr="003456ED" w:rsidRDefault="00E90C5F" w:rsidP="00F94627">
            <w:pPr>
              <w:spacing w:before="120" w:after="120"/>
              <w:rPr>
                <w:sz w:val="16"/>
              </w:rPr>
            </w:pPr>
            <w:r w:rsidRPr="003456ED">
              <w:rPr>
                <w:sz w:val="16"/>
              </w:rPr>
              <w:t>Sven Giegold, Philippe Lamberts, Molly Scott Cato, Ernest Urtasun</w:t>
            </w:r>
          </w:p>
        </w:tc>
      </w:tr>
    </w:tbl>
    <w:p w14:paraId="11E38AB5" w14:textId="77777777" w:rsidR="00E90C5F" w:rsidRPr="003456ED" w:rsidRDefault="00E90C5F" w:rsidP="00B20D66"/>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E90C5F" w:rsidRPr="003456ED" w14:paraId="4811273A" w14:textId="77777777" w:rsidTr="00F94627">
        <w:trPr>
          <w:cantSplit/>
        </w:trPr>
        <w:tc>
          <w:tcPr>
            <w:tcW w:w="1701" w:type="dxa"/>
            <w:shd w:val="pct10" w:color="000000" w:fill="FFFFFF"/>
            <w:vAlign w:val="center"/>
          </w:tcPr>
          <w:p w14:paraId="614CECFC" w14:textId="77777777" w:rsidR="00E90C5F" w:rsidRPr="003456ED" w:rsidRDefault="00E90C5F" w:rsidP="00F94627">
            <w:pPr>
              <w:spacing w:before="120" w:after="120"/>
              <w:jc w:val="center"/>
              <w:rPr>
                <w:b/>
                <w:sz w:val="16"/>
              </w:rPr>
            </w:pPr>
            <w:r w:rsidRPr="003456ED">
              <w:rPr>
                <w:b/>
                <w:sz w:val="16"/>
              </w:rPr>
              <w:t>1</w:t>
            </w:r>
          </w:p>
        </w:tc>
        <w:tc>
          <w:tcPr>
            <w:tcW w:w="7371" w:type="dxa"/>
            <w:shd w:val="pct10" w:color="000000" w:fill="FFFFFF"/>
          </w:tcPr>
          <w:p w14:paraId="5F2C7854" w14:textId="77777777" w:rsidR="00E90C5F" w:rsidRPr="003456ED" w:rsidRDefault="00E90C5F" w:rsidP="00F94627">
            <w:pPr>
              <w:spacing w:before="120" w:after="120"/>
              <w:jc w:val="center"/>
              <w:rPr>
                <w:sz w:val="28"/>
                <w:szCs w:val="28"/>
              </w:rPr>
            </w:pPr>
            <w:r w:rsidRPr="003456ED">
              <w:rPr>
                <w:rFonts w:ascii="Arial" w:hAnsi="Arial" w:cs="Arial"/>
                <w:b/>
                <w:sz w:val="28"/>
                <w:szCs w:val="28"/>
              </w:rPr>
              <w:t>-</w:t>
            </w:r>
          </w:p>
        </w:tc>
      </w:tr>
      <w:tr w:rsidR="00E90C5F" w:rsidRPr="003456ED" w14:paraId="02DB90EC" w14:textId="77777777" w:rsidTr="00F94627">
        <w:trPr>
          <w:cantSplit/>
        </w:trPr>
        <w:tc>
          <w:tcPr>
            <w:tcW w:w="1701" w:type="dxa"/>
            <w:shd w:val="clear" w:color="auto" w:fill="FFFFFF"/>
          </w:tcPr>
          <w:p w14:paraId="551AA772" w14:textId="77777777" w:rsidR="00E90C5F" w:rsidRPr="003456ED" w:rsidRDefault="00E90C5F" w:rsidP="00F94627">
            <w:pPr>
              <w:spacing w:before="120" w:after="120"/>
              <w:rPr>
                <w:sz w:val="16"/>
              </w:rPr>
            </w:pPr>
            <w:r w:rsidRPr="003456ED">
              <w:rPr>
                <w:sz w:val="16"/>
              </w:rPr>
              <w:t xml:space="preserve">NI </w:t>
            </w:r>
          </w:p>
        </w:tc>
        <w:tc>
          <w:tcPr>
            <w:tcW w:w="7371" w:type="dxa"/>
            <w:shd w:val="clear" w:color="auto" w:fill="FFFFFF"/>
          </w:tcPr>
          <w:p w14:paraId="7A96B646" w14:textId="77777777" w:rsidR="00E90C5F" w:rsidRPr="003456ED" w:rsidRDefault="00E90C5F" w:rsidP="00F94627">
            <w:pPr>
              <w:spacing w:before="120" w:after="120"/>
              <w:rPr>
                <w:sz w:val="16"/>
              </w:rPr>
            </w:pPr>
            <w:r w:rsidRPr="003456ED">
              <w:rPr>
                <w:sz w:val="16"/>
              </w:rPr>
              <w:t>Steven Woolfe</w:t>
            </w:r>
          </w:p>
        </w:tc>
      </w:tr>
    </w:tbl>
    <w:p w14:paraId="3C535A04" w14:textId="77777777" w:rsidR="00E90C5F" w:rsidRPr="003456ED" w:rsidRDefault="00E90C5F" w:rsidP="00B20D66"/>
    <w:tbl>
      <w:tblPr>
        <w:tblW w:w="9072" w:type="dxa"/>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E90C5F" w:rsidRPr="003456ED" w14:paraId="1616B67D" w14:textId="77777777" w:rsidTr="00B20D66">
        <w:trPr>
          <w:cantSplit/>
        </w:trPr>
        <w:tc>
          <w:tcPr>
            <w:tcW w:w="1701" w:type="dxa"/>
            <w:shd w:val="pct10" w:color="000000" w:fill="FFFFFF"/>
            <w:vAlign w:val="center"/>
          </w:tcPr>
          <w:p w14:paraId="64B132B4" w14:textId="77777777" w:rsidR="00E90C5F" w:rsidRPr="003456ED" w:rsidRDefault="00E90C5F" w:rsidP="00F94627">
            <w:pPr>
              <w:spacing w:before="120" w:after="120"/>
              <w:jc w:val="center"/>
              <w:rPr>
                <w:b/>
                <w:sz w:val="16"/>
              </w:rPr>
            </w:pPr>
            <w:r w:rsidRPr="003456ED">
              <w:rPr>
                <w:b/>
                <w:sz w:val="16"/>
              </w:rPr>
              <w:t>1</w:t>
            </w:r>
          </w:p>
        </w:tc>
        <w:tc>
          <w:tcPr>
            <w:tcW w:w="7371" w:type="dxa"/>
            <w:shd w:val="pct10" w:color="000000" w:fill="FFFFFF"/>
          </w:tcPr>
          <w:p w14:paraId="7CF31FC5" w14:textId="77777777" w:rsidR="00E90C5F" w:rsidRPr="003456ED" w:rsidRDefault="00E90C5F" w:rsidP="00F94627">
            <w:pPr>
              <w:spacing w:before="120" w:after="120"/>
              <w:jc w:val="center"/>
              <w:rPr>
                <w:sz w:val="28"/>
                <w:szCs w:val="28"/>
              </w:rPr>
            </w:pPr>
            <w:r w:rsidRPr="003456ED">
              <w:rPr>
                <w:rFonts w:ascii="Arial" w:hAnsi="Arial" w:cs="Arial"/>
                <w:b/>
                <w:sz w:val="28"/>
                <w:szCs w:val="28"/>
              </w:rPr>
              <w:t>0</w:t>
            </w:r>
          </w:p>
        </w:tc>
      </w:tr>
      <w:tr w:rsidR="00E90C5F" w:rsidRPr="003456ED" w14:paraId="116207DE" w14:textId="77777777" w:rsidTr="00B20D66">
        <w:trPr>
          <w:cantSplit/>
        </w:trPr>
        <w:tc>
          <w:tcPr>
            <w:tcW w:w="1701" w:type="dxa"/>
            <w:shd w:val="clear" w:color="auto" w:fill="FFFFFF"/>
          </w:tcPr>
          <w:p w14:paraId="00639EDF" w14:textId="77777777" w:rsidR="00E90C5F" w:rsidRPr="003456ED" w:rsidRDefault="00E90C5F" w:rsidP="00F94627">
            <w:pPr>
              <w:spacing w:before="120" w:after="120"/>
              <w:rPr>
                <w:sz w:val="16"/>
              </w:rPr>
            </w:pPr>
            <w:r w:rsidRPr="003456ED">
              <w:rPr>
                <w:sz w:val="16"/>
              </w:rPr>
              <w:t>EFDD</w:t>
            </w:r>
          </w:p>
        </w:tc>
        <w:tc>
          <w:tcPr>
            <w:tcW w:w="7371" w:type="dxa"/>
            <w:shd w:val="clear" w:color="auto" w:fill="FFFFFF"/>
          </w:tcPr>
          <w:p w14:paraId="08D2931A" w14:textId="77777777" w:rsidR="00E90C5F" w:rsidRPr="003456ED" w:rsidRDefault="00E90C5F" w:rsidP="00F94627">
            <w:pPr>
              <w:spacing w:before="120" w:after="120"/>
              <w:rPr>
                <w:sz w:val="16"/>
              </w:rPr>
            </w:pPr>
            <w:r w:rsidRPr="003456ED">
              <w:rPr>
                <w:sz w:val="16"/>
              </w:rPr>
              <w:t>Bernard Monot</w:t>
            </w:r>
          </w:p>
        </w:tc>
      </w:tr>
    </w:tbl>
    <w:p w14:paraId="78D49312" w14:textId="77777777" w:rsidR="00E90C5F" w:rsidRPr="003456ED" w:rsidRDefault="00E90C5F" w:rsidP="00147FBF">
      <w:pPr>
        <w:pStyle w:val="Normal12"/>
      </w:pPr>
    </w:p>
    <w:p w14:paraId="0E1B1CC8" w14:textId="77777777" w:rsidR="00E90C5F" w:rsidRPr="003456ED" w:rsidRDefault="00E90C5F" w:rsidP="00B735E3">
      <w:r w:rsidRPr="003456ED">
        <w:t>Key to symbols:</w:t>
      </w:r>
    </w:p>
    <w:p w14:paraId="412BCA7F" w14:textId="77777777" w:rsidR="00E90C5F" w:rsidRPr="003456ED" w:rsidRDefault="00E90C5F" w:rsidP="00B735E3">
      <w:pPr>
        <w:pStyle w:val="NormalTabs"/>
        <w:rPr>
          <w:lang w:val="en-GB"/>
        </w:rPr>
      </w:pPr>
      <w:r w:rsidRPr="003456ED">
        <w:rPr>
          <w:lang w:val="en-GB"/>
        </w:rPr>
        <w:t>+</w:t>
      </w:r>
      <w:r w:rsidRPr="003456ED">
        <w:rPr>
          <w:lang w:val="en-GB"/>
        </w:rPr>
        <w:tab/>
        <w:t>:</w:t>
      </w:r>
      <w:r w:rsidRPr="003456ED">
        <w:rPr>
          <w:lang w:val="en-GB"/>
        </w:rPr>
        <w:tab/>
        <w:t>in favour</w:t>
      </w:r>
    </w:p>
    <w:p w14:paraId="4804398F" w14:textId="77777777" w:rsidR="00E90C5F" w:rsidRPr="003456ED" w:rsidRDefault="00E90C5F" w:rsidP="00B735E3">
      <w:pPr>
        <w:pStyle w:val="NormalTabs"/>
        <w:rPr>
          <w:lang w:val="en-GB"/>
        </w:rPr>
      </w:pPr>
      <w:r w:rsidRPr="003456ED">
        <w:rPr>
          <w:lang w:val="en-GB"/>
        </w:rPr>
        <w:t>-</w:t>
      </w:r>
      <w:r w:rsidRPr="003456ED">
        <w:rPr>
          <w:lang w:val="en-GB"/>
        </w:rPr>
        <w:tab/>
        <w:t>:</w:t>
      </w:r>
      <w:r w:rsidRPr="003456ED">
        <w:rPr>
          <w:lang w:val="en-GB"/>
        </w:rPr>
        <w:tab/>
        <w:t>against</w:t>
      </w:r>
    </w:p>
    <w:p w14:paraId="65211177" w14:textId="77777777" w:rsidR="00E90C5F" w:rsidRPr="003456ED" w:rsidRDefault="00E90C5F" w:rsidP="00B735E3">
      <w:pPr>
        <w:pStyle w:val="NormalTabs"/>
        <w:rPr>
          <w:lang w:val="en-GB"/>
        </w:rPr>
      </w:pPr>
      <w:r w:rsidRPr="003456ED">
        <w:rPr>
          <w:lang w:val="en-GB"/>
        </w:rPr>
        <w:t>0</w:t>
      </w:r>
      <w:r w:rsidRPr="003456ED">
        <w:rPr>
          <w:lang w:val="en-GB"/>
        </w:rPr>
        <w:tab/>
        <w:t>:</w:t>
      </w:r>
      <w:r w:rsidRPr="003456ED">
        <w:rPr>
          <w:lang w:val="en-GB"/>
        </w:rPr>
        <w:tab/>
        <w:t>abstention</w:t>
      </w:r>
    </w:p>
    <w:p w14:paraId="40A7FF5C" w14:textId="77777777" w:rsidR="00E90C5F" w:rsidRPr="003456ED" w:rsidRDefault="00E90C5F" w:rsidP="00AD5932"/>
    <w:p w14:paraId="07FC534D" w14:textId="77777777" w:rsidR="00E90C5F" w:rsidRPr="003456ED" w:rsidRDefault="00E90C5F" w:rsidP="00C04938"/>
    <w:p w14:paraId="76147382" w14:textId="77777777" w:rsidR="00135FF2" w:rsidRPr="00E15344" w:rsidRDefault="00135FF2" w:rsidP="00E15344">
      <w:r w:rsidRPr="00E15344">
        <w:br w:type="page"/>
      </w:r>
    </w:p>
    <w:p w14:paraId="09A02775" w14:textId="77777777" w:rsidR="00E15344" w:rsidRDefault="00E15344" w:rsidP="00E15344">
      <w:pPr>
        <w:pStyle w:val="PageHeading"/>
      </w:pPr>
      <w:bookmarkStart w:id="5" w:name="_Toc482779350"/>
      <w:bookmarkStart w:id="6" w:name="ProcPageRR"/>
      <w:r>
        <w:t>INFORMATION ON ADOPTION IN COMMITTEE RESPONSIBLE</w:t>
      </w:r>
      <w:bookmarkEnd w:id="5"/>
    </w:p>
    <w:tbl>
      <w:tblPr>
        <w:tblW w:w="0" w:type="auto"/>
        <w:tblInd w:w="-10"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E15344" w14:paraId="30D0F05E"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60167643" w14:textId="77777777" w:rsidR="00E15344" w:rsidRDefault="00E15344">
            <w:pPr>
              <w:autoSpaceDE w:val="0"/>
              <w:autoSpaceDN w:val="0"/>
              <w:adjustRightInd w:val="0"/>
              <w:rPr>
                <w:b/>
                <w:bCs/>
                <w:color w:val="000000"/>
                <w:sz w:val="20"/>
              </w:rPr>
            </w:pPr>
            <w:r>
              <w:rPr>
                <w:b/>
                <w:bCs/>
                <w:color w:val="000000"/>
                <w:sz w:val="20"/>
              </w:rPr>
              <w:t>Date adopted</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58C3E279" w14:textId="77777777" w:rsidR="00E15344" w:rsidRDefault="00E15344">
            <w:pPr>
              <w:autoSpaceDE w:val="0"/>
              <w:autoSpaceDN w:val="0"/>
              <w:adjustRightInd w:val="0"/>
              <w:rPr>
                <w:color w:val="000000"/>
                <w:sz w:val="20"/>
              </w:rPr>
            </w:pPr>
            <w:r>
              <w:rPr>
                <w:color w:val="000000"/>
                <w:sz w:val="20"/>
              </w:rPr>
              <w:t>11.5.2017</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6DD418A4" w14:textId="77777777" w:rsidR="00E15344" w:rsidRDefault="00E15344">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7CC23FDD" w14:textId="77777777" w:rsidR="00E15344" w:rsidRDefault="00E15344">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4318FDE4" w14:textId="77777777" w:rsidR="00E15344" w:rsidRDefault="00E15344">
            <w:pPr>
              <w:autoSpaceDE w:val="0"/>
              <w:autoSpaceDN w:val="0"/>
              <w:adjustRightInd w:val="0"/>
              <w:rPr>
                <w:rFonts w:ascii="sans-serif" w:hAnsi="sans-serif" w:cs="sans-serif"/>
                <w:color w:val="000000"/>
                <w:szCs w:val="24"/>
              </w:rPr>
            </w:pPr>
          </w:p>
        </w:tc>
      </w:tr>
      <w:tr w:rsidR="00E15344" w14:paraId="2C7BD5B1"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5AA20623" w14:textId="77777777" w:rsidR="00E15344" w:rsidRDefault="00E15344">
            <w:pPr>
              <w:autoSpaceDE w:val="0"/>
              <w:autoSpaceDN w:val="0"/>
              <w:adjustRightInd w:val="0"/>
              <w:rPr>
                <w:b/>
                <w:bCs/>
                <w:color w:val="000000"/>
                <w:sz w:val="20"/>
              </w:rPr>
            </w:pPr>
            <w:r>
              <w:rPr>
                <w:b/>
                <w:bCs/>
                <w:color w:val="000000"/>
                <w:sz w:val="20"/>
              </w:rPr>
              <w:t>Result of final vote</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14D24B34" w14:textId="77777777" w:rsidR="00E15344" w:rsidRDefault="00E15344">
            <w:pPr>
              <w:autoSpaceDE w:val="0"/>
              <w:autoSpaceDN w:val="0"/>
              <w:adjustRightInd w:val="0"/>
              <w:rPr>
                <w:color w:val="000000"/>
                <w:sz w:val="20"/>
              </w:rPr>
            </w:pPr>
            <w:r>
              <w:rPr>
                <w:color w:val="000000"/>
                <w:sz w:val="20"/>
              </w:rPr>
              <w:t>+:</w:t>
            </w:r>
          </w:p>
          <w:p w14:paraId="629BBF3D" w14:textId="77777777" w:rsidR="00E15344" w:rsidRDefault="00E15344">
            <w:pPr>
              <w:autoSpaceDE w:val="0"/>
              <w:autoSpaceDN w:val="0"/>
              <w:adjustRightInd w:val="0"/>
              <w:rPr>
                <w:color w:val="000000"/>
                <w:sz w:val="20"/>
              </w:rPr>
            </w:pPr>
            <w:r>
              <w:rPr>
                <w:color w:val="000000"/>
                <w:sz w:val="20"/>
              </w:rPr>
              <w:t>–:</w:t>
            </w:r>
          </w:p>
          <w:p w14:paraId="0C046D97" w14:textId="77777777" w:rsidR="00E15344" w:rsidRDefault="00E15344">
            <w:pPr>
              <w:autoSpaceDE w:val="0"/>
              <w:autoSpaceDN w:val="0"/>
              <w:adjustRightInd w:val="0"/>
              <w:rPr>
                <w:color w:val="000000"/>
                <w:sz w:val="20"/>
              </w:rPr>
            </w:pPr>
            <w:r>
              <w:rPr>
                <w:color w:val="000000"/>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20ECF8F3" w14:textId="77777777" w:rsidR="00E15344" w:rsidRDefault="00E15344">
            <w:pPr>
              <w:autoSpaceDE w:val="0"/>
              <w:autoSpaceDN w:val="0"/>
              <w:adjustRightInd w:val="0"/>
              <w:rPr>
                <w:color w:val="000000"/>
                <w:sz w:val="20"/>
              </w:rPr>
            </w:pPr>
            <w:r>
              <w:rPr>
                <w:color w:val="000000"/>
                <w:sz w:val="20"/>
              </w:rPr>
              <w:t>34</w:t>
            </w:r>
          </w:p>
          <w:p w14:paraId="3E173381" w14:textId="77777777" w:rsidR="00E15344" w:rsidRDefault="00E15344">
            <w:pPr>
              <w:autoSpaceDE w:val="0"/>
              <w:autoSpaceDN w:val="0"/>
              <w:adjustRightInd w:val="0"/>
              <w:rPr>
                <w:color w:val="000000"/>
                <w:sz w:val="20"/>
              </w:rPr>
            </w:pPr>
            <w:r>
              <w:rPr>
                <w:color w:val="000000"/>
                <w:sz w:val="20"/>
              </w:rPr>
              <w:t>0</w:t>
            </w:r>
          </w:p>
          <w:p w14:paraId="1B1FC2AB" w14:textId="77777777" w:rsidR="00E15344" w:rsidRDefault="00E15344">
            <w:pPr>
              <w:autoSpaceDE w:val="0"/>
              <w:autoSpaceDN w:val="0"/>
              <w:adjustRightInd w:val="0"/>
              <w:rPr>
                <w:color w:val="000000"/>
                <w:sz w:val="20"/>
              </w:rPr>
            </w:pPr>
            <w:r>
              <w:rPr>
                <w:color w:val="000000"/>
                <w:sz w:val="20"/>
              </w:rPr>
              <w:t>3</w:t>
            </w:r>
          </w:p>
        </w:tc>
      </w:tr>
      <w:tr w:rsidR="00E15344" w14:paraId="72849D7C"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25C1AA4A" w14:textId="77777777" w:rsidR="00E15344" w:rsidRDefault="00E15344">
            <w:pPr>
              <w:autoSpaceDE w:val="0"/>
              <w:autoSpaceDN w:val="0"/>
              <w:adjustRightInd w:val="0"/>
              <w:rPr>
                <w:b/>
                <w:bCs/>
                <w:color w:val="000000"/>
                <w:sz w:val="20"/>
              </w:rPr>
            </w:pPr>
            <w:r>
              <w:rPr>
                <w:b/>
                <w:bCs/>
                <w:color w:val="000000"/>
                <w:sz w:val="20"/>
              </w:rPr>
              <w:t>Members present for the final vote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11AE9B33" w14:textId="77777777" w:rsidR="00E15344" w:rsidRDefault="00E15344">
            <w:pPr>
              <w:autoSpaceDE w:val="0"/>
              <w:autoSpaceDN w:val="0"/>
              <w:adjustRightInd w:val="0"/>
              <w:rPr>
                <w:color w:val="000000"/>
                <w:sz w:val="20"/>
              </w:rPr>
            </w:pPr>
            <w:r>
              <w:rPr>
                <w:color w:val="000000"/>
                <w:sz w:val="20"/>
              </w:rPr>
              <w:t>Dita Charanzová, Carlos Coelho, Anna Maria Corazza Bildt, Daniel Dalton, Nicola Danti, Dennis de Jong, Pascal Durand, Ildikó Gáll-Pelcz, Evelyne Gebhardt, Sergio Gutiérrez Prieto, Robert Jarosław Iwaszkiewicz, Antonio López-Istúriz White, Eva Maydell, Jiří Pospíšil, Virginie Rozière, Christel Schaldemose, Andreas Schwab, Olga Sehnalová, Jasenko Selimovic, Ivan Štefanec, Catherine Stihler, Róża Gräfin von Thun und Hohenstein, Mylène Troszczynski, Anneleen Van Bossuyt, Marco Zullo</w:t>
            </w:r>
          </w:p>
        </w:tc>
      </w:tr>
      <w:tr w:rsidR="00E15344" w14:paraId="44375CBD" w14:textId="7777777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649A9375" w14:textId="77777777" w:rsidR="00E15344" w:rsidRDefault="00E15344">
            <w:pPr>
              <w:autoSpaceDE w:val="0"/>
              <w:autoSpaceDN w:val="0"/>
              <w:adjustRightInd w:val="0"/>
              <w:rPr>
                <w:b/>
                <w:bCs/>
                <w:color w:val="000000"/>
                <w:sz w:val="20"/>
              </w:rPr>
            </w:pPr>
            <w:r>
              <w:rPr>
                <w:b/>
                <w:bCs/>
                <w:color w:val="000000"/>
                <w:sz w:val="20"/>
              </w:rPr>
              <w:t>Substitutes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1917E19F" w14:textId="77777777" w:rsidR="00E15344" w:rsidRDefault="00E15344">
            <w:pPr>
              <w:autoSpaceDE w:val="0"/>
              <w:autoSpaceDN w:val="0"/>
              <w:adjustRightInd w:val="0"/>
              <w:rPr>
                <w:color w:val="000000"/>
                <w:sz w:val="20"/>
              </w:rPr>
            </w:pPr>
            <w:r>
              <w:rPr>
                <w:color w:val="000000"/>
                <w:sz w:val="20"/>
              </w:rPr>
              <w:t>Lucy Anderson, Pascal Arimont, Birgit Collin-Langen, Edward Czesak, Lidia Joanna Geringer de Oedenberg, Kaja Kallas, Arndt Kohn, Julia Reda, Adam Szejnfeld, Marc Tarabella, Ulrike Trebesius</w:t>
            </w:r>
          </w:p>
        </w:tc>
      </w:tr>
      <w:tr w:rsidR="00E15344" w14:paraId="2952AB19" w14:textId="7777777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1AED9F8C" w14:textId="77777777" w:rsidR="00E15344" w:rsidRDefault="00E15344">
            <w:pPr>
              <w:autoSpaceDE w:val="0"/>
              <w:autoSpaceDN w:val="0"/>
              <w:adjustRightInd w:val="0"/>
              <w:rPr>
                <w:b/>
                <w:bCs/>
                <w:color w:val="000000"/>
                <w:sz w:val="20"/>
              </w:rPr>
            </w:pPr>
            <w:r>
              <w:rPr>
                <w:b/>
                <w:bCs/>
                <w:color w:val="000000"/>
                <w:sz w:val="20"/>
              </w:rPr>
              <w:t>Substitutes under Rule 200(2)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290E6C04" w14:textId="77777777" w:rsidR="00E15344" w:rsidRDefault="00E15344">
            <w:pPr>
              <w:autoSpaceDE w:val="0"/>
              <w:autoSpaceDN w:val="0"/>
              <w:adjustRightInd w:val="0"/>
              <w:rPr>
                <w:color w:val="000000"/>
                <w:sz w:val="20"/>
              </w:rPr>
            </w:pPr>
            <w:r>
              <w:rPr>
                <w:color w:val="000000"/>
                <w:sz w:val="20"/>
              </w:rPr>
              <w:t>Anne-Marie Mineur</w:t>
            </w:r>
          </w:p>
        </w:tc>
      </w:tr>
    </w:tbl>
    <w:p w14:paraId="637AA929" w14:textId="77777777" w:rsidR="00E15344" w:rsidRDefault="00E15344">
      <w:pPr>
        <w:autoSpaceDE w:val="0"/>
        <w:autoSpaceDN w:val="0"/>
        <w:adjustRightInd w:val="0"/>
        <w:rPr>
          <w:rFonts w:ascii="Arial" w:hAnsi="Arial" w:cs="Arial"/>
          <w:szCs w:val="24"/>
        </w:rPr>
      </w:pPr>
    </w:p>
    <w:bookmarkEnd w:id="6"/>
    <w:p w14:paraId="73B863E1" w14:textId="77777777" w:rsidR="0006082F" w:rsidRPr="003456ED" w:rsidRDefault="0006082F" w:rsidP="00E15344">
      <w:r w:rsidRPr="00E15344">
        <w:br w:type="page"/>
      </w:r>
    </w:p>
    <w:p w14:paraId="03DCB4B7" w14:textId="77777777" w:rsidR="0006082F" w:rsidRPr="003456ED" w:rsidRDefault="0006082F" w:rsidP="00E15344">
      <w:pPr>
        <w:pStyle w:val="PageHeading"/>
      </w:pPr>
      <w:bookmarkStart w:id="7" w:name="_Toc482779351"/>
      <w:bookmarkStart w:id="8" w:name="RollCallPageRR"/>
      <w:r w:rsidRPr="003456ED">
        <w:t>FINAL VOTE BY ROLL CALL IN COMMITTEE RESPONSIBLE</w:t>
      </w:r>
      <w:bookmarkEnd w:id="7"/>
    </w:p>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06082F" w:rsidRPr="003456ED" w14:paraId="4CC00DEB" w14:textId="77777777" w:rsidTr="008920AC">
        <w:trPr>
          <w:cantSplit/>
        </w:trPr>
        <w:tc>
          <w:tcPr>
            <w:tcW w:w="1701" w:type="dxa"/>
            <w:shd w:val="pct10" w:color="000000" w:fill="FFFFFF"/>
            <w:vAlign w:val="center"/>
          </w:tcPr>
          <w:p w14:paraId="450D7B44" w14:textId="77777777" w:rsidR="0006082F" w:rsidRPr="003456ED" w:rsidRDefault="0006082F" w:rsidP="008920AC">
            <w:pPr>
              <w:spacing w:before="120" w:after="120"/>
              <w:jc w:val="center"/>
              <w:rPr>
                <w:b/>
                <w:sz w:val="16"/>
              </w:rPr>
            </w:pPr>
            <w:r w:rsidRPr="003456ED">
              <w:rPr>
                <w:b/>
                <w:sz w:val="16"/>
              </w:rPr>
              <w:t>34</w:t>
            </w:r>
          </w:p>
        </w:tc>
        <w:tc>
          <w:tcPr>
            <w:tcW w:w="7371" w:type="dxa"/>
            <w:shd w:val="pct10" w:color="000000" w:fill="FFFFFF"/>
          </w:tcPr>
          <w:p w14:paraId="313EAEAE" w14:textId="77777777" w:rsidR="0006082F" w:rsidRPr="003456ED" w:rsidRDefault="0006082F" w:rsidP="008920AC">
            <w:pPr>
              <w:spacing w:before="120" w:after="120"/>
              <w:jc w:val="center"/>
              <w:rPr>
                <w:rFonts w:ascii="Arial" w:hAnsi="Arial" w:cs="Arial"/>
                <w:b/>
                <w:sz w:val="28"/>
                <w:szCs w:val="28"/>
              </w:rPr>
            </w:pPr>
            <w:r w:rsidRPr="003456ED">
              <w:rPr>
                <w:rFonts w:ascii="Arial" w:hAnsi="Arial" w:cs="Arial"/>
                <w:b/>
                <w:sz w:val="28"/>
                <w:szCs w:val="28"/>
              </w:rPr>
              <w:t>+</w:t>
            </w:r>
          </w:p>
        </w:tc>
      </w:tr>
      <w:tr w:rsidR="0006082F" w:rsidRPr="00DB522B" w14:paraId="4EF6B9C0" w14:textId="77777777" w:rsidTr="008920AC">
        <w:trPr>
          <w:cantSplit/>
        </w:trPr>
        <w:tc>
          <w:tcPr>
            <w:tcW w:w="1701" w:type="dxa"/>
            <w:shd w:val="clear" w:color="auto" w:fill="FFFFFF"/>
          </w:tcPr>
          <w:p w14:paraId="7EE2DFDC" w14:textId="77777777" w:rsidR="0006082F" w:rsidRPr="003456ED" w:rsidRDefault="0013361E" w:rsidP="008920AC">
            <w:pPr>
              <w:spacing w:before="120" w:after="120"/>
              <w:rPr>
                <w:sz w:val="16"/>
              </w:rPr>
            </w:pPr>
            <w:r w:rsidRPr="003456ED">
              <w:rPr>
                <w:sz w:val="16"/>
                <w:szCs w:val="16"/>
              </w:rPr>
              <w:t>ALDE</w:t>
            </w:r>
          </w:p>
        </w:tc>
        <w:tc>
          <w:tcPr>
            <w:tcW w:w="7371" w:type="dxa"/>
            <w:shd w:val="clear" w:color="auto" w:fill="FFFFFF"/>
          </w:tcPr>
          <w:p w14:paraId="60B305EA" w14:textId="77777777" w:rsidR="0006082F" w:rsidRPr="0021052C" w:rsidRDefault="0013361E" w:rsidP="008920AC">
            <w:pPr>
              <w:spacing w:before="120" w:after="120"/>
              <w:rPr>
                <w:sz w:val="16"/>
                <w:lang w:val="fi-FI"/>
              </w:rPr>
            </w:pPr>
            <w:r w:rsidRPr="0021052C">
              <w:rPr>
                <w:sz w:val="16"/>
                <w:szCs w:val="16"/>
                <w:lang w:val="fi-FI"/>
              </w:rPr>
              <w:t>Dita Charanzová, Kaja Kallas, Jasenko Selimovic</w:t>
            </w:r>
          </w:p>
        </w:tc>
      </w:tr>
      <w:tr w:rsidR="0013361E" w:rsidRPr="003456ED" w14:paraId="4742A929" w14:textId="77777777" w:rsidTr="008920AC">
        <w:trPr>
          <w:cantSplit/>
        </w:trPr>
        <w:tc>
          <w:tcPr>
            <w:tcW w:w="1701" w:type="dxa"/>
            <w:shd w:val="clear" w:color="auto" w:fill="FFFFFF"/>
          </w:tcPr>
          <w:p w14:paraId="6A40C91F" w14:textId="77777777" w:rsidR="0013361E" w:rsidRPr="003456ED" w:rsidRDefault="0013361E" w:rsidP="008920AC">
            <w:pPr>
              <w:spacing w:before="120" w:after="120"/>
              <w:rPr>
                <w:sz w:val="16"/>
                <w:szCs w:val="16"/>
              </w:rPr>
            </w:pPr>
            <w:r w:rsidRPr="003456ED">
              <w:rPr>
                <w:sz w:val="16"/>
                <w:szCs w:val="16"/>
              </w:rPr>
              <w:t>ECR</w:t>
            </w:r>
          </w:p>
        </w:tc>
        <w:tc>
          <w:tcPr>
            <w:tcW w:w="7371" w:type="dxa"/>
            <w:shd w:val="clear" w:color="auto" w:fill="FFFFFF"/>
          </w:tcPr>
          <w:p w14:paraId="5270AA50" w14:textId="77777777" w:rsidR="0013361E" w:rsidRPr="003456ED" w:rsidRDefault="0013361E" w:rsidP="008920AC">
            <w:pPr>
              <w:spacing w:before="120" w:after="120"/>
              <w:rPr>
                <w:sz w:val="16"/>
                <w:szCs w:val="16"/>
              </w:rPr>
            </w:pPr>
            <w:r w:rsidRPr="003456ED">
              <w:rPr>
                <w:sz w:val="16"/>
                <w:szCs w:val="16"/>
              </w:rPr>
              <w:t>Edward Czesak, Daniel Dalton, Ulrike Trebesius, Anneleen Van Bossuyt</w:t>
            </w:r>
          </w:p>
        </w:tc>
      </w:tr>
      <w:tr w:rsidR="0013361E" w:rsidRPr="00DB522B" w14:paraId="6803AC1C" w14:textId="77777777" w:rsidTr="008920AC">
        <w:trPr>
          <w:cantSplit/>
        </w:trPr>
        <w:tc>
          <w:tcPr>
            <w:tcW w:w="1701" w:type="dxa"/>
            <w:shd w:val="clear" w:color="auto" w:fill="FFFFFF"/>
          </w:tcPr>
          <w:p w14:paraId="63606B86" w14:textId="77777777" w:rsidR="0013361E" w:rsidRPr="003456ED" w:rsidRDefault="0013361E" w:rsidP="008920AC">
            <w:pPr>
              <w:spacing w:before="120" w:after="120"/>
              <w:rPr>
                <w:sz w:val="16"/>
                <w:szCs w:val="16"/>
              </w:rPr>
            </w:pPr>
            <w:r w:rsidRPr="003456ED">
              <w:rPr>
                <w:sz w:val="16"/>
                <w:szCs w:val="16"/>
              </w:rPr>
              <w:t>GUE/NGL</w:t>
            </w:r>
          </w:p>
        </w:tc>
        <w:tc>
          <w:tcPr>
            <w:tcW w:w="7371" w:type="dxa"/>
            <w:shd w:val="clear" w:color="auto" w:fill="FFFFFF"/>
          </w:tcPr>
          <w:p w14:paraId="0509E786" w14:textId="77777777" w:rsidR="0013361E" w:rsidRPr="0021052C" w:rsidRDefault="0013361E" w:rsidP="008920AC">
            <w:pPr>
              <w:spacing w:before="120" w:after="120"/>
              <w:rPr>
                <w:sz w:val="16"/>
                <w:szCs w:val="16"/>
                <w:lang w:val="fr-FR"/>
              </w:rPr>
            </w:pPr>
            <w:r w:rsidRPr="0021052C">
              <w:rPr>
                <w:sz w:val="16"/>
                <w:szCs w:val="16"/>
                <w:lang w:val="fr-FR"/>
              </w:rPr>
              <w:t>Anne-Marie Mineur, Dennis de Jong</w:t>
            </w:r>
          </w:p>
        </w:tc>
      </w:tr>
      <w:tr w:rsidR="0013361E" w:rsidRPr="003456ED" w14:paraId="16298866" w14:textId="77777777" w:rsidTr="008920AC">
        <w:trPr>
          <w:cantSplit/>
        </w:trPr>
        <w:tc>
          <w:tcPr>
            <w:tcW w:w="1701" w:type="dxa"/>
            <w:shd w:val="clear" w:color="auto" w:fill="FFFFFF"/>
          </w:tcPr>
          <w:p w14:paraId="6FEEA35B" w14:textId="77777777" w:rsidR="0013361E" w:rsidRPr="003456ED" w:rsidRDefault="0013361E" w:rsidP="008920AC">
            <w:pPr>
              <w:spacing w:before="120" w:after="120"/>
              <w:rPr>
                <w:sz w:val="16"/>
                <w:szCs w:val="16"/>
              </w:rPr>
            </w:pPr>
            <w:r w:rsidRPr="003456ED">
              <w:rPr>
                <w:sz w:val="16"/>
                <w:szCs w:val="16"/>
              </w:rPr>
              <w:t>PPE</w:t>
            </w:r>
          </w:p>
        </w:tc>
        <w:tc>
          <w:tcPr>
            <w:tcW w:w="7371" w:type="dxa"/>
            <w:shd w:val="clear" w:color="auto" w:fill="FFFFFF"/>
          </w:tcPr>
          <w:p w14:paraId="30FDDD8F" w14:textId="77777777" w:rsidR="0013361E" w:rsidRPr="003456ED" w:rsidRDefault="0013361E" w:rsidP="008920AC">
            <w:pPr>
              <w:spacing w:before="120" w:after="120"/>
              <w:rPr>
                <w:sz w:val="16"/>
                <w:szCs w:val="16"/>
              </w:rPr>
            </w:pPr>
            <w:r w:rsidRPr="003456ED">
              <w:rPr>
                <w:sz w:val="16"/>
                <w:szCs w:val="16"/>
              </w:rPr>
              <w:t>Pascal Arimont, Carlos Coelho, Birgit Collin-Langen, Anna Maria Corazza Bildt, Ildikó Gáll-Pelcz, Antonio López-Istúriz White, Eva Maydell, Jiří Pospíšil, Andreas Schwab, Ivan Štefanec, Adam Szejnfeld, Róża Gräfin von Thun und Hohenstein</w:t>
            </w:r>
          </w:p>
        </w:tc>
      </w:tr>
      <w:tr w:rsidR="0013361E" w:rsidRPr="003456ED" w14:paraId="1B35C8D7" w14:textId="77777777" w:rsidTr="008920AC">
        <w:trPr>
          <w:cantSplit/>
        </w:trPr>
        <w:tc>
          <w:tcPr>
            <w:tcW w:w="1701" w:type="dxa"/>
            <w:shd w:val="clear" w:color="auto" w:fill="FFFFFF"/>
          </w:tcPr>
          <w:p w14:paraId="5262758A" w14:textId="77777777" w:rsidR="0013361E" w:rsidRPr="003456ED" w:rsidRDefault="0013361E" w:rsidP="008920AC">
            <w:pPr>
              <w:spacing w:before="120" w:after="120"/>
              <w:rPr>
                <w:sz w:val="16"/>
                <w:szCs w:val="16"/>
              </w:rPr>
            </w:pPr>
            <w:r w:rsidRPr="003456ED">
              <w:rPr>
                <w:sz w:val="16"/>
                <w:szCs w:val="16"/>
              </w:rPr>
              <w:t>S&amp;D</w:t>
            </w:r>
          </w:p>
        </w:tc>
        <w:tc>
          <w:tcPr>
            <w:tcW w:w="7371" w:type="dxa"/>
            <w:shd w:val="clear" w:color="auto" w:fill="FFFFFF"/>
          </w:tcPr>
          <w:p w14:paraId="264409B9" w14:textId="77777777" w:rsidR="0013361E" w:rsidRPr="003456ED" w:rsidRDefault="0013361E" w:rsidP="008920AC">
            <w:pPr>
              <w:spacing w:before="120" w:after="120"/>
              <w:rPr>
                <w:sz w:val="16"/>
                <w:szCs w:val="16"/>
              </w:rPr>
            </w:pPr>
            <w:r w:rsidRPr="003456ED">
              <w:rPr>
                <w:sz w:val="16"/>
                <w:szCs w:val="16"/>
              </w:rPr>
              <w:t>Lucy Anderson, Nicola Danti, Evelyne Gebhardt, Lidia Joanna Geringer de Oedenberg, Sergio Gutiérrez Prieto, Arndt Kohn, Virginie Rozière, Christel Schaldemose, Olga Sehnalová, Catherine Stihler, Marc Tarabella</w:t>
            </w:r>
          </w:p>
        </w:tc>
      </w:tr>
      <w:tr w:rsidR="0013361E" w:rsidRPr="003456ED" w14:paraId="73643AD2" w14:textId="77777777" w:rsidTr="008920AC">
        <w:trPr>
          <w:cantSplit/>
        </w:trPr>
        <w:tc>
          <w:tcPr>
            <w:tcW w:w="1701" w:type="dxa"/>
            <w:shd w:val="clear" w:color="auto" w:fill="FFFFFF"/>
          </w:tcPr>
          <w:p w14:paraId="79669048" w14:textId="77777777" w:rsidR="0013361E" w:rsidRPr="003456ED" w:rsidRDefault="0013361E" w:rsidP="008920AC">
            <w:pPr>
              <w:spacing w:before="120" w:after="120"/>
              <w:rPr>
                <w:sz w:val="16"/>
                <w:szCs w:val="16"/>
              </w:rPr>
            </w:pPr>
            <w:r w:rsidRPr="003456ED">
              <w:rPr>
                <w:sz w:val="16"/>
                <w:szCs w:val="16"/>
              </w:rPr>
              <w:t>VERTS/ALE</w:t>
            </w:r>
          </w:p>
        </w:tc>
        <w:tc>
          <w:tcPr>
            <w:tcW w:w="7371" w:type="dxa"/>
            <w:shd w:val="clear" w:color="auto" w:fill="FFFFFF"/>
          </w:tcPr>
          <w:p w14:paraId="6EBA127D" w14:textId="77777777" w:rsidR="0013361E" w:rsidRPr="003456ED" w:rsidRDefault="0013361E" w:rsidP="008920AC">
            <w:pPr>
              <w:spacing w:before="120" w:after="120"/>
              <w:rPr>
                <w:sz w:val="16"/>
                <w:szCs w:val="16"/>
              </w:rPr>
            </w:pPr>
            <w:r w:rsidRPr="003456ED">
              <w:rPr>
                <w:sz w:val="16"/>
                <w:szCs w:val="16"/>
              </w:rPr>
              <w:t>Pascal Durand, Julia Reda</w:t>
            </w:r>
          </w:p>
        </w:tc>
      </w:tr>
    </w:tbl>
    <w:p w14:paraId="67317C67" w14:textId="77777777" w:rsidR="0006082F" w:rsidRPr="003456ED" w:rsidRDefault="0006082F" w:rsidP="00147FBF"/>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06082F" w:rsidRPr="003456ED" w14:paraId="1E6CE3FC" w14:textId="77777777" w:rsidTr="008920AC">
        <w:trPr>
          <w:cantSplit/>
        </w:trPr>
        <w:tc>
          <w:tcPr>
            <w:tcW w:w="1701" w:type="dxa"/>
            <w:shd w:val="pct10" w:color="000000" w:fill="FFFFFF"/>
            <w:vAlign w:val="center"/>
          </w:tcPr>
          <w:p w14:paraId="707E6DD5" w14:textId="77777777" w:rsidR="0006082F" w:rsidRPr="003456ED" w:rsidRDefault="0006082F" w:rsidP="008920AC">
            <w:pPr>
              <w:spacing w:before="120" w:after="120"/>
              <w:jc w:val="center"/>
              <w:rPr>
                <w:b/>
                <w:sz w:val="16"/>
              </w:rPr>
            </w:pPr>
            <w:r w:rsidRPr="003456ED">
              <w:rPr>
                <w:b/>
                <w:sz w:val="16"/>
              </w:rPr>
              <w:t>0</w:t>
            </w:r>
          </w:p>
        </w:tc>
        <w:tc>
          <w:tcPr>
            <w:tcW w:w="7371" w:type="dxa"/>
            <w:shd w:val="pct10" w:color="000000" w:fill="FFFFFF"/>
          </w:tcPr>
          <w:p w14:paraId="3D486C3B" w14:textId="77777777" w:rsidR="0006082F" w:rsidRPr="003456ED" w:rsidRDefault="0006082F" w:rsidP="008920AC">
            <w:pPr>
              <w:spacing w:before="120" w:after="120"/>
              <w:jc w:val="center"/>
              <w:rPr>
                <w:sz w:val="28"/>
                <w:szCs w:val="28"/>
              </w:rPr>
            </w:pPr>
            <w:r w:rsidRPr="003456ED">
              <w:rPr>
                <w:rFonts w:ascii="Arial" w:hAnsi="Arial" w:cs="Arial"/>
                <w:b/>
                <w:sz w:val="28"/>
                <w:szCs w:val="28"/>
              </w:rPr>
              <w:t>-</w:t>
            </w:r>
          </w:p>
        </w:tc>
      </w:tr>
      <w:tr w:rsidR="0006082F" w:rsidRPr="003456ED" w14:paraId="4767B4D3" w14:textId="77777777" w:rsidTr="008920AC">
        <w:trPr>
          <w:cantSplit/>
        </w:trPr>
        <w:tc>
          <w:tcPr>
            <w:tcW w:w="1701" w:type="dxa"/>
            <w:shd w:val="clear" w:color="auto" w:fill="FFFFFF"/>
          </w:tcPr>
          <w:p w14:paraId="5272F823" w14:textId="77777777" w:rsidR="0006082F" w:rsidRPr="003456ED" w:rsidRDefault="0006082F" w:rsidP="008920AC">
            <w:pPr>
              <w:spacing w:before="120" w:after="120"/>
              <w:rPr>
                <w:sz w:val="16"/>
              </w:rPr>
            </w:pPr>
            <w:r w:rsidRPr="003456ED">
              <w:rPr>
                <w:sz w:val="16"/>
              </w:rPr>
              <w:t>xx</w:t>
            </w:r>
          </w:p>
        </w:tc>
        <w:tc>
          <w:tcPr>
            <w:tcW w:w="7371" w:type="dxa"/>
            <w:shd w:val="clear" w:color="auto" w:fill="FFFFFF"/>
          </w:tcPr>
          <w:p w14:paraId="1FA63C65" w14:textId="77777777" w:rsidR="0006082F" w:rsidRPr="003456ED" w:rsidRDefault="0006082F" w:rsidP="008920AC">
            <w:pPr>
              <w:spacing w:before="120" w:after="120"/>
              <w:rPr>
                <w:sz w:val="16"/>
              </w:rPr>
            </w:pPr>
            <w:r w:rsidRPr="003456ED">
              <w:rPr>
                <w:sz w:val="16"/>
              </w:rPr>
              <w:t>zz</w:t>
            </w:r>
          </w:p>
        </w:tc>
      </w:tr>
    </w:tbl>
    <w:p w14:paraId="7090DD17" w14:textId="77777777" w:rsidR="0006082F" w:rsidRPr="003456ED" w:rsidRDefault="0006082F" w:rsidP="00147FBF"/>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06082F" w:rsidRPr="003456ED" w14:paraId="73863B6C" w14:textId="77777777" w:rsidTr="008920AC">
        <w:trPr>
          <w:cantSplit/>
        </w:trPr>
        <w:tc>
          <w:tcPr>
            <w:tcW w:w="1701" w:type="dxa"/>
            <w:shd w:val="pct10" w:color="000000" w:fill="FFFFFF"/>
            <w:vAlign w:val="center"/>
          </w:tcPr>
          <w:p w14:paraId="007E9E6A" w14:textId="77777777" w:rsidR="0006082F" w:rsidRPr="003456ED" w:rsidRDefault="0006082F" w:rsidP="008920AC">
            <w:pPr>
              <w:spacing w:before="120" w:after="120"/>
              <w:jc w:val="center"/>
              <w:rPr>
                <w:b/>
                <w:sz w:val="16"/>
              </w:rPr>
            </w:pPr>
            <w:r w:rsidRPr="003456ED">
              <w:rPr>
                <w:b/>
                <w:sz w:val="16"/>
              </w:rPr>
              <w:t>3</w:t>
            </w:r>
          </w:p>
        </w:tc>
        <w:tc>
          <w:tcPr>
            <w:tcW w:w="7371" w:type="dxa"/>
            <w:shd w:val="pct10" w:color="000000" w:fill="FFFFFF"/>
          </w:tcPr>
          <w:p w14:paraId="14900115" w14:textId="77777777" w:rsidR="0006082F" w:rsidRPr="003456ED" w:rsidRDefault="0006082F" w:rsidP="008920AC">
            <w:pPr>
              <w:spacing w:before="120" w:after="120"/>
              <w:jc w:val="center"/>
              <w:rPr>
                <w:sz w:val="28"/>
                <w:szCs w:val="28"/>
              </w:rPr>
            </w:pPr>
            <w:r w:rsidRPr="003456ED">
              <w:rPr>
                <w:rFonts w:ascii="Arial" w:hAnsi="Arial" w:cs="Arial"/>
                <w:b/>
                <w:sz w:val="28"/>
                <w:szCs w:val="28"/>
              </w:rPr>
              <w:t>0</w:t>
            </w:r>
          </w:p>
        </w:tc>
      </w:tr>
      <w:tr w:rsidR="0006082F" w:rsidRPr="003456ED" w14:paraId="57B96E9F" w14:textId="77777777" w:rsidTr="008920AC">
        <w:trPr>
          <w:cantSplit/>
        </w:trPr>
        <w:tc>
          <w:tcPr>
            <w:tcW w:w="1701" w:type="dxa"/>
            <w:shd w:val="clear" w:color="auto" w:fill="FFFFFF"/>
          </w:tcPr>
          <w:p w14:paraId="7FA29DCC" w14:textId="77777777" w:rsidR="0006082F" w:rsidRPr="003456ED" w:rsidRDefault="0013361E" w:rsidP="008920AC">
            <w:pPr>
              <w:spacing w:before="120" w:after="120"/>
              <w:rPr>
                <w:sz w:val="16"/>
              </w:rPr>
            </w:pPr>
            <w:r w:rsidRPr="003456ED">
              <w:rPr>
                <w:sz w:val="16"/>
                <w:szCs w:val="16"/>
              </w:rPr>
              <w:t>EFDD</w:t>
            </w:r>
          </w:p>
        </w:tc>
        <w:tc>
          <w:tcPr>
            <w:tcW w:w="7371" w:type="dxa"/>
            <w:shd w:val="clear" w:color="auto" w:fill="FFFFFF"/>
          </w:tcPr>
          <w:p w14:paraId="1C8C9193" w14:textId="77777777" w:rsidR="0006082F" w:rsidRPr="003456ED" w:rsidRDefault="0013361E" w:rsidP="008920AC">
            <w:pPr>
              <w:spacing w:before="120" w:after="120"/>
              <w:rPr>
                <w:sz w:val="16"/>
              </w:rPr>
            </w:pPr>
            <w:r w:rsidRPr="003456ED">
              <w:rPr>
                <w:sz w:val="16"/>
                <w:szCs w:val="16"/>
              </w:rPr>
              <w:t>Robert Jarosław Iwaszkiewicz, Marco Zullo</w:t>
            </w:r>
          </w:p>
        </w:tc>
      </w:tr>
      <w:tr w:rsidR="0013361E" w:rsidRPr="003456ED" w14:paraId="393B3D52" w14:textId="77777777" w:rsidTr="008920AC">
        <w:trPr>
          <w:cantSplit/>
        </w:trPr>
        <w:tc>
          <w:tcPr>
            <w:tcW w:w="1701" w:type="dxa"/>
            <w:shd w:val="clear" w:color="auto" w:fill="FFFFFF"/>
          </w:tcPr>
          <w:p w14:paraId="7FD5A8C4" w14:textId="77777777" w:rsidR="0013361E" w:rsidRPr="003456ED" w:rsidRDefault="0013361E" w:rsidP="008920AC">
            <w:pPr>
              <w:spacing w:before="120" w:after="120"/>
              <w:rPr>
                <w:sz w:val="16"/>
                <w:szCs w:val="16"/>
              </w:rPr>
            </w:pPr>
            <w:r w:rsidRPr="003456ED">
              <w:rPr>
                <w:sz w:val="16"/>
                <w:szCs w:val="16"/>
              </w:rPr>
              <w:t>ENF</w:t>
            </w:r>
          </w:p>
        </w:tc>
        <w:tc>
          <w:tcPr>
            <w:tcW w:w="7371" w:type="dxa"/>
            <w:shd w:val="clear" w:color="auto" w:fill="FFFFFF"/>
          </w:tcPr>
          <w:p w14:paraId="42B873B2" w14:textId="77777777" w:rsidR="0013361E" w:rsidRPr="003456ED" w:rsidRDefault="0013361E" w:rsidP="008920AC">
            <w:pPr>
              <w:spacing w:before="120" w:after="120"/>
              <w:rPr>
                <w:sz w:val="16"/>
                <w:szCs w:val="16"/>
              </w:rPr>
            </w:pPr>
            <w:r w:rsidRPr="003456ED">
              <w:rPr>
                <w:sz w:val="16"/>
                <w:szCs w:val="16"/>
              </w:rPr>
              <w:t>Mylène Troszczynski</w:t>
            </w:r>
          </w:p>
        </w:tc>
      </w:tr>
    </w:tbl>
    <w:p w14:paraId="30AC3B79" w14:textId="77777777" w:rsidR="0006082F" w:rsidRPr="003456ED" w:rsidRDefault="0006082F" w:rsidP="00147FBF">
      <w:pPr>
        <w:pStyle w:val="Normal12"/>
      </w:pPr>
    </w:p>
    <w:p w14:paraId="5A724BC6" w14:textId="77777777" w:rsidR="0006082F" w:rsidRPr="003456ED" w:rsidRDefault="0006082F" w:rsidP="00B735E3">
      <w:r w:rsidRPr="003456ED">
        <w:t>Key to symbols:</w:t>
      </w:r>
    </w:p>
    <w:p w14:paraId="6DD1DB52" w14:textId="77777777" w:rsidR="0006082F" w:rsidRPr="003456ED" w:rsidRDefault="0006082F" w:rsidP="00B735E3">
      <w:pPr>
        <w:pStyle w:val="NormalTabs"/>
        <w:rPr>
          <w:lang w:val="en-GB"/>
        </w:rPr>
      </w:pPr>
      <w:r w:rsidRPr="003456ED">
        <w:rPr>
          <w:lang w:val="en-GB"/>
        </w:rPr>
        <w:t>+</w:t>
      </w:r>
      <w:r w:rsidRPr="003456ED">
        <w:rPr>
          <w:lang w:val="en-GB"/>
        </w:rPr>
        <w:tab/>
        <w:t>:</w:t>
      </w:r>
      <w:r w:rsidRPr="003456ED">
        <w:rPr>
          <w:lang w:val="en-GB"/>
        </w:rPr>
        <w:tab/>
        <w:t>in favour</w:t>
      </w:r>
    </w:p>
    <w:p w14:paraId="26D7C450" w14:textId="77777777" w:rsidR="0006082F" w:rsidRPr="003456ED" w:rsidRDefault="0006082F" w:rsidP="00B735E3">
      <w:pPr>
        <w:pStyle w:val="NormalTabs"/>
        <w:rPr>
          <w:lang w:val="en-GB"/>
        </w:rPr>
      </w:pPr>
      <w:r w:rsidRPr="003456ED">
        <w:rPr>
          <w:lang w:val="en-GB"/>
        </w:rPr>
        <w:t>-</w:t>
      </w:r>
      <w:r w:rsidRPr="003456ED">
        <w:rPr>
          <w:lang w:val="en-GB"/>
        </w:rPr>
        <w:tab/>
        <w:t>:</w:t>
      </w:r>
      <w:r w:rsidRPr="003456ED">
        <w:rPr>
          <w:lang w:val="en-GB"/>
        </w:rPr>
        <w:tab/>
        <w:t>against</w:t>
      </w:r>
    </w:p>
    <w:p w14:paraId="3E92FDB7" w14:textId="77777777" w:rsidR="0006082F" w:rsidRPr="003456ED" w:rsidRDefault="0006082F" w:rsidP="00B735E3">
      <w:pPr>
        <w:pStyle w:val="NormalTabs"/>
        <w:rPr>
          <w:lang w:val="en-GB"/>
        </w:rPr>
      </w:pPr>
      <w:r w:rsidRPr="003456ED">
        <w:rPr>
          <w:lang w:val="en-GB"/>
        </w:rPr>
        <w:t>0</w:t>
      </w:r>
      <w:r w:rsidRPr="003456ED">
        <w:rPr>
          <w:lang w:val="en-GB"/>
        </w:rPr>
        <w:tab/>
        <w:t>:</w:t>
      </w:r>
      <w:r w:rsidRPr="003456ED">
        <w:rPr>
          <w:lang w:val="en-GB"/>
        </w:rPr>
        <w:tab/>
        <w:t>abstention</w:t>
      </w:r>
    </w:p>
    <w:p w14:paraId="281C285A" w14:textId="77777777" w:rsidR="0006082F" w:rsidRPr="003456ED" w:rsidRDefault="0006082F" w:rsidP="00AD5932"/>
    <w:bookmarkEnd w:id="8"/>
    <w:p w14:paraId="5B44DA7D" w14:textId="77777777" w:rsidR="006D54A8" w:rsidRPr="003456ED" w:rsidRDefault="006D54A8" w:rsidP="0006082F"/>
    <w:sectPr w:rsidR="006D54A8" w:rsidRPr="003456ED" w:rsidSect="003456ED">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134" w:right="1418" w:bottom="1418"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A5193" w14:textId="77777777" w:rsidR="00FD7B9C" w:rsidRPr="00DE6A55" w:rsidRDefault="00FD7B9C">
      <w:r w:rsidRPr="00DE6A55">
        <w:separator/>
      </w:r>
    </w:p>
  </w:endnote>
  <w:endnote w:type="continuationSeparator" w:id="0">
    <w:p w14:paraId="7E6265C7" w14:textId="77777777" w:rsidR="00FD7B9C" w:rsidRPr="00DE6A55" w:rsidRDefault="00FD7B9C">
      <w:r w:rsidRPr="00DE6A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673B" w14:textId="77777777" w:rsidR="00E15344" w:rsidRDefault="00E15344" w:rsidP="00E15344">
    <w:pPr>
      <w:pStyle w:val="Footer"/>
    </w:pPr>
    <w:r>
      <w:t>PE</w:t>
    </w:r>
    <w:r w:rsidRPr="00E15344">
      <w:rPr>
        <w:rStyle w:val="HideTWBExt"/>
      </w:rPr>
      <w:t>&lt;NoPE&gt;</w:t>
    </w:r>
    <w:r>
      <w:t>597.399</w:t>
    </w:r>
    <w:r w:rsidRPr="00E15344">
      <w:rPr>
        <w:rStyle w:val="HideTWBExt"/>
      </w:rPr>
      <w:t>&lt;/NoPE&gt;&lt;Version&gt;</w:t>
    </w:r>
    <w:r>
      <w:t>v02-00</w:t>
    </w:r>
    <w:r w:rsidRPr="00E15344">
      <w:rPr>
        <w:rStyle w:val="HideTWBExt"/>
      </w:rPr>
      <w:t>&lt;/Version&gt;</w:t>
    </w:r>
    <w:r>
      <w:tab/>
    </w:r>
    <w:r>
      <w:fldChar w:fldCharType="begin"/>
    </w:r>
    <w:r>
      <w:instrText xml:space="preserve"> PAGE  \* MERGEFORMAT </w:instrText>
    </w:r>
    <w:r>
      <w:fldChar w:fldCharType="separate"/>
    </w:r>
    <w:r w:rsidR="005D6E9C">
      <w:rPr>
        <w:noProof/>
      </w:rPr>
      <w:t>2</w:t>
    </w:r>
    <w:r>
      <w:fldChar w:fldCharType="end"/>
    </w:r>
    <w:r>
      <w:t>/</w:t>
    </w:r>
    <w:r w:rsidR="00EF3FFD">
      <w:fldChar w:fldCharType="begin"/>
    </w:r>
    <w:r w:rsidR="00EF3FFD">
      <w:instrText xml:space="preserve"> NUMPAGES  \* MERGEFORMAT </w:instrText>
    </w:r>
    <w:r w:rsidR="00EF3FFD">
      <w:fldChar w:fldCharType="separate"/>
    </w:r>
    <w:r w:rsidR="005D6E9C">
      <w:rPr>
        <w:noProof/>
      </w:rPr>
      <w:t>17</w:t>
    </w:r>
    <w:r w:rsidR="00EF3FFD">
      <w:rPr>
        <w:noProof/>
      </w:rPr>
      <w:fldChar w:fldCharType="end"/>
    </w:r>
    <w:r>
      <w:tab/>
    </w:r>
    <w:r w:rsidRPr="00E15344">
      <w:rPr>
        <w:rStyle w:val="HideTWBExt"/>
      </w:rPr>
      <w:t>&lt;PathFdR&gt;</w:t>
    </w:r>
    <w:r>
      <w:t>RR\1126198EN.docx</w:t>
    </w:r>
    <w:r w:rsidRPr="00E15344">
      <w:rPr>
        <w:rStyle w:val="HideTWBExt"/>
      </w:rPr>
      <w:t>&lt;/PathFdR&gt;</w:t>
    </w:r>
  </w:p>
  <w:p w14:paraId="711A051E" w14:textId="77777777" w:rsidR="00100069" w:rsidRPr="00486111" w:rsidRDefault="00E15344" w:rsidP="00E15344">
    <w:pPr>
      <w:pStyle w:val="Footer2"/>
    </w:pPr>
    <w: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9DB2" w14:textId="77777777" w:rsidR="00E15344" w:rsidRDefault="00E15344" w:rsidP="00E15344">
    <w:pPr>
      <w:pStyle w:val="Footer"/>
    </w:pPr>
    <w:r w:rsidRPr="00E15344">
      <w:rPr>
        <w:rStyle w:val="HideTWBExt"/>
      </w:rPr>
      <w:t>&lt;PathFdR&gt;</w:t>
    </w:r>
    <w:r>
      <w:t>RR\1126198EN.docx</w:t>
    </w:r>
    <w:r w:rsidRPr="00E15344">
      <w:rPr>
        <w:rStyle w:val="HideTWBExt"/>
      </w:rPr>
      <w:t>&lt;/PathFdR&gt;</w:t>
    </w:r>
    <w:r>
      <w:tab/>
    </w:r>
    <w:r>
      <w:fldChar w:fldCharType="begin"/>
    </w:r>
    <w:r>
      <w:instrText xml:space="preserve"> PAGE  \* MERGEFORMAT </w:instrText>
    </w:r>
    <w:r>
      <w:fldChar w:fldCharType="separate"/>
    </w:r>
    <w:r w:rsidR="005D6E9C">
      <w:rPr>
        <w:noProof/>
      </w:rPr>
      <w:t>17</w:t>
    </w:r>
    <w:r>
      <w:fldChar w:fldCharType="end"/>
    </w:r>
    <w:r>
      <w:t>/</w:t>
    </w:r>
    <w:r w:rsidR="00EF3FFD">
      <w:fldChar w:fldCharType="begin"/>
    </w:r>
    <w:r w:rsidR="00EF3FFD">
      <w:instrText xml:space="preserve"> NUMPAGES  \* MERGEFORMAT </w:instrText>
    </w:r>
    <w:r w:rsidR="00EF3FFD">
      <w:fldChar w:fldCharType="separate"/>
    </w:r>
    <w:r w:rsidR="005D6E9C">
      <w:rPr>
        <w:noProof/>
      </w:rPr>
      <w:t>17</w:t>
    </w:r>
    <w:r w:rsidR="00EF3FFD">
      <w:rPr>
        <w:noProof/>
      </w:rPr>
      <w:fldChar w:fldCharType="end"/>
    </w:r>
    <w:r>
      <w:tab/>
      <w:t>PE</w:t>
    </w:r>
    <w:r w:rsidRPr="00E15344">
      <w:rPr>
        <w:rStyle w:val="HideTWBExt"/>
      </w:rPr>
      <w:t>&lt;NoPE&gt;</w:t>
    </w:r>
    <w:r>
      <w:t>597.399</w:t>
    </w:r>
    <w:r w:rsidRPr="00E15344">
      <w:rPr>
        <w:rStyle w:val="HideTWBExt"/>
      </w:rPr>
      <w:t>&lt;/NoPE&gt;&lt;Version&gt;</w:t>
    </w:r>
    <w:r>
      <w:t>v02-00</w:t>
    </w:r>
    <w:r w:rsidRPr="00E15344">
      <w:rPr>
        <w:rStyle w:val="HideTWBExt"/>
      </w:rPr>
      <w:t>&lt;/Version&gt;</w:t>
    </w:r>
  </w:p>
  <w:p w14:paraId="0C5E8A30" w14:textId="77777777" w:rsidR="00100069" w:rsidRPr="00486111" w:rsidRDefault="00E15344" w:rsidP="00E15344">
    <w:pPr>
      <w:pStyle w:val="Footer2"/>
    </w:pPr>
    <w:r>
      <w:tab/>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A2D1" w14:textId="77777777" w:rsidR="00E15344" w:rsidRDefault="00E15344" w:rsidP="00E15344">
    <w:pPr>
      <w:pStyle w:val="Footer"/>
    </w:pPr>
    <w:r w:rsidRPr="00E15344">
      <w:rPr>
        <w:rStyle w:val="HideTWBExt"/>
      </w:rPr>
      <w:t>&lt;PathFdR&gt;</w:t>
    </w:r>
    <w:r>
      <w:t>RR\1126198EN.docx</w:t>
    </w:r>
    <w:r w:rsidRPr="00E15344">
      <w:rPr>
        <w:rStyle w:val="HideTWBExt"/>
      </w:rPr>
      <w:t>&lt;/PathFdR&gt;</w:t>
    </w:r>
    <w:r>
      <w:tab/>
    </w:r>
    <w:r>
      <w:tab/>
      <w:t>PE</w:t>
    </w:r>
    <w:r w:rsidRPr="00E15344">
      <w:rPr>
        <w:rStyle w:val="HideTWBExt"/>
      </w:rPr>
      <w:t>&lt;NoPE&gt;</w:t>
    </w:r>
    <w:r>
      <w:t>597.399</w:t>
    </w:r>
    <w:r w:rsidRPr="00E15344">
      <w:rPr>
        <w:rStyle w:val="HideTWBExt"/>
      </w:rPr>
      <w:t>&lt;/NoPE&gt;&lt;Version&gt;</w:t>
    </w:r>
    <w:r>
      <w:t>v02-00</w:t>
    </w:r>
    <w:r w:rsidRPr="00E15344">
      <w:rPr>
        <w:rStyle w:val="HideTWBExt"/>
      </w:rPr>
      <w:t>&lt;/Version&gt;</w:t>
    </w:r>
  </w:p>
  <w:p w14:paraId="789AFD12" w14:textId="77777777" w:rsidR="00100069" w:rsidRPr="00486111" w:rsidRDefault="00E15344" w:rsidP="00E15344">
    <w:pPr>
      <w:pStyle w:val="Footer2"/>
      <w:tabs>
        <w:tab w:val="center" w:pos="4535"/>
      </w:tabs>
    </w:pPr>
    <w:r>
      <w:t>EN</w:t>
    </w:r>
    <w:r>
      <w:tab/>
    </w:r>
    <w:r w:rsidRPr="00E15344">
      <w:rPr>
        <w:b w:val="0"/>
        <w:i/>
        <w:color w:val="C0C0C0"/>
        <w:sz w:val="22"/>
      </w:rPr>
      <w:t>United in diversity</w:t>
    </w:r>
    <w:r>
      <w:tab/>
      <w: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BEEF" w14:textId="77777777" w:rsidR="00FD7B9C" w:rsidRPr="00DE6A55" w:rsidRDefault="00FD7B9C">
      <w:r w:rsidRPr="00DE6A55">
        <w:separator/>
      </w:r>
    </w:p>
  </w:footnote>
  <w:footnote w:type="continuationSeparator" w:id="0">
    <w:p w14:paraId="5DC8AF88" w14:textId="77777777" w:rsidR="00FD7B9C" w:rsidRPr="00DE6A55" w:rsidRDefault="00FD7B9C">
      <w:r w:rsidRPr="00DE6A55">
        <w:continuationSeparator/>
      </w:r>
    </w:p>
  </w:footnote>
  <w:footnote w:id="1">
    <w:p w14:paraId="3FB2E0B9" w14:textId="77777777" w:rsidR="00A24B81" w:rsidRPr="00486111" w:rsidRDefault="00A24B81" w:rsidP="00A24B81">
      <w:pPr>
        <w:pStyle w:val="FootnoteText"/>
      </w:pPr>
      <w:r w:rsidRPr="00DE6A55">
        <w:rPr>
          <w:rStyle w:val="FootnoteReference"/>
        </w:rPr>
        <w:footnoteRef/>
      </w:r>
      <w:r w:rsidRPr="00DE6A55">
        <w:t xml:space="preserve"> </w:t>
      </w:r>
      <w:r w:rsidR="00B13C43" w:rsidRPr="00486111">
        <w:t xml:space="preserve"> OJ C 468, 15.12.2016, p. 140.</w:t>
      </w:r>
    </w:p>
  </w:footnote>
  <w:footnote w:id="2">
    <w:p w14:paraId="4C63FC90" w14:textId="77777777" w:rsidR="00A24B81" w:rsidRPr="00486111" w:rsidRDefault="00A24B81" w:rsidP="00A24B81">
      <w:pPr>
        <w:pStyle w:val="FootnoteText"/>
      </w:pPr>
      <w:r w:rsidRPr="00486111">
        <w:rPr>
          <w:rStyle w:val="FootnoteReference"/>
        </w:rPr>
        <w:footnoteRef/>
      </w:r>
      <w:r w:rsidRPr="00486111">
        <w:t xml:space="preserve"> </w:t>
      </w:r>
      <w:r w:rsidR="006F4DF5" w:rsidRPr="00486111">
        <w:t xml:space="preserve">Texts adopted, </w:t>
      </w:r>
      <w:r w:rsidRPr="00486111">
        <w:t>P8_</w:t>
      </w:r>
      <w:r w:rsidR="006F4DF5" w:rsidRPr="00486111">
        <w:t>TA</w:t>
      </w:r>
      <w:r w:rsidRPr="00486111">
        <w:t>(2016)0250</w:t>
      </w:r>
      <w:r w:rsidR="006F4DF5" w:rsidRPr="00486111">
        <w:t>.</w:t>
      </w:r>
    </w:p>
  </w:footnote>
  <w:footnote w:id="3">
    <w:p w14:paraId="32DCF49C" w14:textId="77777777" w:rsidR="00A24B81" w:rsidRPr="00486111" w:rsidRDefault="00A24B81" w:rsidP="00A24B81">
      <w:pPr>
        <w:pStyle w:val="FootnoteText"/>
      </w:pPr>
      <w:r w:rsidRPr="00486111">
        <w:rPr>
          <w:rStyle w:val="FootnoteReference"/>
        </w:rPr>
        <w:footnoteRef/>
      </w:r>
      <w:r w:rsidRPr="00486111">
        <w:t xml:space="preserve"> IP/A/IMCO/2015-05, PE 578.978</w:t>
      </w:r>
    </w:p>
  </w:footnote>
  <w:footnote w:id="4">
    <w:p w14:paraId="61A0C568" w14:textId="77777777" w:rsidR="00A24B81" w:rsidRPr="00486111" w:rsidRDefault="00A24B81" w:rsidP="00A24B81">
      <w:pPr>
        <w:pStyle w:val="FootnoteText"/>
      </w:pPr>
      <w:r w:rsidRPr="00486111">
        <w:rPr>
          <w:rStyle w:val="FootnoteReference"/>
        </w:rPr>
        <w:footnoteRef/>
      </w:r>
      <w:r w:rsidRPr="00486111">
        <w:t xml:space="preserve"> IP/A/IMCO/2016-08, PE 587.317</w:t>
      </w:r>
    </w:p>
  </w:footnote>
  <w:footnote w:id="5">
    <w:p w14:paraId="6FC22495" w14:textId="77777777" w:rsidR="00A24B81" w:rsidRPr="00486111" w:rsidRDefault="00A24B81" w:rsidP="00A24B81">
      <w:pPr>
        <w:pStyle w:val="FootnoteText"/>
      </w:pPr>
      <w:r w:rsidRPr="00486111">
        <w:rPr>
          <w:rStyle w:val="FootnoteReference"/>
        </w:rPr>
        <w:footnoteRef/>
      </w:r>
      <w:r w:rsidRPr="00486111">
        <w:t xml:space="preserve"> PE 587.325</w:t>
      </w:r>
    </w:p>
  </w:footnote>
  <w:footnote w:id="6">
    <w:p w14:paraId="0602675C" w14:textId="77777777" w:rsidR="00F94F13" w:rsidRPr="00486111" w:rsidRDefault="00F94F13">
      <w:pPr>
        <w:pStyle w:val="FootnoteText"/>
      </w:pPr>
      <w:r w:rsidRPr="00486111">
        <w:rPr>
          <w:rStyle w:val="FootnoteReference"/>
        </w:rPr>
        <w:footnoteRef/>
      </w:r>
      <w:r w:rsidRPr="00486111">
        <w:t xml:space="preserve"> ‘Legal perspective of the regulatory framework and challenges for franchising in the EU’, study for the IMCO Committee, September 2016, p</w:t>
      </w:r>
      <w:r w:rsidR="00B13C43" w:rsidRPr="00486111">
        <w:t>.</w:t>
      </w:r>
      <w:r w:rsidRPr="00486111">
        <w:t xml:space="preserve"> 12.</w:t>
      </w:r>
    </w:p>
  </w:footnote>
  <w:footnote w:id="7">
    <w:p w14:paraId="2543F862" w14:textId="77777777" w:rsidR="00B3050F" w:rsidRPr="00486111" w:rsidRDefault="00B3050F" w:rsidP="00B3050F">
      <w:pPr>
        <w:pStyle w:val="FootnoteText"/>
      </w:pPr>
      <w:r w:rsidRPr="00486111">
        <w:rPr>
          <w:rStyle w:val="FootnoteReference"/>
        </w:rPr>
        <w:footnoteRef/>
      </w:r>
      <w:r w:rsidRPr="00486111">
        <w:t xml:space="preserve">  "Tackling unfair trading practices in the business-to-business food supply chain", COM(2014)472.</w:t>
      </w:r>
    </w:p>
  </w:footnote>
  <w:footnote w:id="8">
    <w:p w14:paraId="3B9C97C7" w14:textId="77777777" w:rsidR="006225CD" w:rsidRPr="00486111" w:rsidRDefault="006225CD">
      <w:pPr>
        <w:pStyle w:val="FootnoteText"/>
      </w:pPr>
      <w:r w:rsidRPr="00486111">
        <w:rPr>
          <w:rStyle w:val="FootnoteReference"/>
        </w:rPr>
        <w:footnoteRef/>
      </w:r>
      <w:r w:rsidRPr="00486111">
        <w:t xml:space="preserve"> OJ L 102, 23.4.2010, p.1.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AA99" w14:textId="77777777" w:rsidR="003456ED" w:rsidRDefault="00345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1E04" w14:textId="77777777" w:rsidR="003456ED" w:rsidRDefault="00345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17EC" w14:textId="77777777" w:rsidR="003456ED" w:rsidRDefault="00345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16cid:durableId="1466583760">
    <w:abstractNumId w:val="9"/>
  </w:num>
  <w:num w:numId="2" w16cid:durableId="1918593341">
    <w:abstractNumId w:val="9"/>
  </w:num>
  <w:num w:numId="3" w16cid:durableId="316810656">
    <w:abstractNumId w:val="7"/>
  </w:num>
  <w:num w:numId="4" w16cid:durableId="1644044778">
    <w:abstractNumId w:val="7"/>
  </w:num>
  <w:num w:numId="5" w16cid:durableId="2003969266">
    <w:abstractNumId w:val="6"/>
  </w:num>
  <w:num w:numId="6" w16cid:durableId="1543131323">
    <w:abstractNumId w:val="6"/>
  </w:num>
  <w:num w:numId="7" w16cid:durableId="376124862">
    <w:abstractNumId w:val="5"/>
  </w:num>
  <w:num w:numId="8" w16cid:durableId="634528259">
    <w:abstractNumId w:val="5"/>
  </w:num>
  <w:num w:numId="9" w16cid:durableId="1533767751">
    <w:abstractNumId w:val="4"/>
  </w:num>
  <w:num w:numId="10" w16cid:durableId="1645548747">
    <w:abstractNumId w:val="4"/>
  </w:num>
  <w:num w:numId="11" w16cid:durableId="315694964">
    <w:abstractNumId w:val="8"/>
  </w:num>
  <w:num w:numId="12" w16cid:durableId="28994818">
    <w:abstractNumId w:val="8"/>
  </w:num>
  <w:num w:numId="13" w16cid:durableId="1099061728">
    <w:abstractNumId w:val="3"/>
  </w:num>
  <w:num w:numId="14" w16cid:durableId="495922266">
    <w:abstractNumId w:val="3"/>
  </w:num>
  <w:num w:numId="15" w16cid:durableId="1768383477">
    <w:abstractNumId w:val="2"/>
  </w:num>
  <w:num w:numId="16" w16cid:durableId="1855993371">
    <w:abstractNumId w:val="2"/>
  </w:num>
  <w:num w:numId="17" w16cid:durableId="68045159">
    <w:abstractNumId w:val="1"/>
  </w:num>
  <w:num w:numId="18" w16cid:durableId="975258055">
    <w:abstractNumId w:val="1"/>
  </w:num>
  <w:num w:numId="19" w16cid:durableId="819231505">
    <w:abstractNumId w:val="0"/>
  </w:num>
  <w:num w:numId="20" w16cid:durableId="703023954">
    <w:abstractNumId w:val="0"/>
  </w:num>
  <w:num w:numId="21" w16cid:durableId="919101862">
    <w:abstractNumId w:val="9"/>
  </w:num>
  <w:num w:numId="22" w16cid:durableId="792796928">
    <w:abstractNumId w:val="7"/>
  </w:num>
  <w:num w:numId="23" w16cid:durableId="1436905396">
    <w:abstractNumId w:val="6"/>
  </w:num>
  <w:num w:numId="24" w16cid:durableId="1954053137">
    <w:abstractNumId w:val="5"/>
  </w:num>
  <w:num w:numId="25" w16cid:durableId="1217935700">
    <w:abstractNumId w:val="4"/>
  </w:num>
  <w:num w:numId="26" w16cid:durableId="763502711">
    <w:abstractNumId w:val="8"/>
  </w:num>
  <w:num w:numId="27" w16cid:durableId="2129080957">
    <w:abstractNumId w:val="3"/>
  </w:num>
  <w:num w:numId="28" w16cid:durableId="299001868">
    <w:abstractNumId w:val="2"/>
  </w:num>
  <w:num w:numId="29" w16cid:durableId="298875803">
    <w:abstractNumId w:val="1"/>
  </w:num>
  <w:num w:numId="30" w16cid:durableId="268003771">
    <w:abstractNumId w:val="0"/>
  </w:num>
  <w:num w:numId="31" w16cid:durableId="1092160786">
    <w:abstractNumId w:val="9"/>
  </w:num>
  <w:num w:numId="32" w16cid:durableId="1969429797">
    <w:abstractNumId w:val="7"/>
  </w:num>
  <w:num w:numId="33" w16cid:durableId="415397449">
    <w:abstractNumId w:val="6"/>
  </w:num>
  <w:num w:numId="34" w16cid:durableId="1936087947">
    <w:abstractNumId w:val="5"/>
  </w:num>
  <w:num w:numId="35" w16cid:durableId="1536312228">
    <w:abstractNumId w:val="4"/>
  </w:num>
  <w:num w:numId="36" w16cid:durableId="1558736545">
    <w:abstractNumId w:val="8"/>
  </w:num>
  <w:num w:numId="37" w16cid:durableId="1624383478">
    <w:abstractNumId w:val="3"/>
  </w:num>
  <w:num w:numId="38" w16cid:durableId="2055883866">
    <w:abstractNumId w:val="2"/>
  </w:num>
  <w:num w:numId="39" w16cid:durableId="1692221423">
    <w:abstractNumId w:val="1"/>
  </w:num>
  <w:num w:numId="40" w16cid:durableId="176896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activeWritingStyle w:appName="MSWord" w:lang="da-DK" w:vendorID="64" w:dllVersion="0" w:nlCheck="1" w:checkStyle="0"/>
  <w:activeWritingStyle w:appName="MSWord" w:lang="en-GB" w:vendorID="64" w:dllVersion="0" w:nlCheck="1" w:checkStyle="1"/>
  <w:activeWritingStyle w:appName="MSWord" w:lang="fr-FR" w:vendorID="64" w:dllVersion="0" w:nlCheck="1" w:checkStyle="1"/>
  <w:activeWritingStyle w:appName="MSWord" w:lang="en-US"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KEY" w:val="IMCO"/>
    <w:docVar w:name="CopyToNetwork" w:val="-1"/>
    <w:docVar w:name="DOCDT" w:val="17/05/2017"/>
    <w:docVar w:name="LastEditedSection" w:val=" 1"/>
    <w:docVar w:name="MOTIONMNU" w:val=" 1"/>
    <w:docVar w:name="RULEMNU" w:val=" 1"/>
    <w:docVar w:name="strSubDir" w:val="597"/>
    <w:docVar w:name="TXTLANGUE" w:val="EN"/>
    <w:docVar w:name="TXTLANGUEMIN" w:val="en"/>
    <w:docVar w:name="TXTNRINI" w:val="2016/2244"/>
    <w:docVar w:name="TXTNRPE" w:val="597.399"/>
    <w:docVar w:name="TXTPEorAP" w:val="PE"/>
    <w:docVar w:name="TXTROUTE" w:val="RR\597399EN.docx"/>
    <w:docVar w:name="TXTTITLE" w:val="the functioning of franchising in the retail sector"/>
    <w:docVar w:name="TXTVERSION" w:val="02-00"/>
  </w:docVars>
  <w:rsids>
    <w:rsidRoot w:val="008E68B1"/>
    <w:rsid w:val="000119C4"/>
    <w:rsid w:val="00040EAC"/>
    <w:rsid w:val="0006082F"/>
    <w:rsid w:val="00094F78"/>
    <w:rsid w:val="00097757"/>
    <w:rsid w:val="000E690E"/>
    <w:rsid w:val="00100069"/>
    <w:rsid w:val="001046B1"/>
    <w:rsid w:val="00106042"/>
    <w:rsid w:val="0013361E"/>
    <w:rsid w:val="00135FF2"/>
    <w:rsid w:val="00136D9B"/>
    <w:rsid w:val="00157EBA"/>
    <w:rsid w:val="0019577D"/>
    <w:rsid w:val="001B7AF5"/>
    <w:rsid w:val="001E1870"/>
    <w:rsid w:val="00201F7D"/>
    <w:rsid w:val="00202C8B"/>
    <w:rsid w:val="0021052C"/>
    <w:rsid w:val="00223B2B"/>
    <w:rsid w:val="00253BA9"/>
    <w:rsid w:val="002544DF"/>
    <w:rsid w:val="002A1DFC"/>
    <w:rsid w:val="002C2DD1"/>
    <w:rsid w:val="002C45AE"/>
    <w:rsid w:val="00323E1D"/>
    <w:rsid w:val="003456ED"/>
    <w:rsid w:val="00366AFE"/>
    <w:rsid w:val="0038091A"/>
    <w:rsid w:val="003E6413"/>
    <w:rsid w:val="004624EB"/>
    <w:rsid w:val="00486111"/>
    <w:rsid w:val="00492997"/>
    <w:rsid w:val="005A05B5"/>
    <w:rsid w:val="005D6E9C"/>
    <w:rsid w:val="006064D7"/>
    <w:rsid w:val="006225CD"/>
    <w:rsid w:val="00626553"/>
    <w:rsid w:val="006272CD"/>
    <w:rsid w:val="006343CC"/>
    <w:rsid w:val="006B17A9"/>
    <w:rsid w:val="006C1570"/>
    <w:rsid w:val="006C73B8"/>
    <w:rsid w:val="006D54A8"/>
    <w:rsid w:val="006F4DF5"/>
    <w:rsid w:val="00705D44"/>
    <w:rsid w:val="00752866"/>
    <w:rsid w:val="007C686B"/>
    <w:rsid w:val="007C6D25"/>
    <w:rsid w:val="0080319A"/>
    <w:rsid w:val="008660D6"/>
    <w:rsid w:val="008C4C65"/>
    <w:rsid w:val="008E389F"/>
    <w:rsid w:val="008E68B1"/>
    <w:rsid w:val="00944145"/>
    <w:rsid w:val="00956282"/>
    <w:rsid w:val="009828F5"/>
    <w:rsid w:val="00A24B81"/>
    <w:rsid w:val="00AB494F"/>
    <w:rsid w:val="00AE5A9F"/>
    <w:rsid w:val="00B01BB0"/>
    <w:rsid w:val="00B06CF5"/>
    <w:rsid w:val="00B13C43"/>
    <w:rsid w:val="00B3050F"/>
    <w:rsid w:val="00B42D2E"/>
    <w:rsid w:val="00BA2A57"/>
    <w:rsid w:val="00BB70F1"/>
    <w:rsid w:val="00BC7C60"/>
    <w:rsid w:val="00C43B10"/>
    <w:rsid w:val="00CD14CB"/>
    <w:rsid w:val="00CE7711"/>
    <w:rsid w:val="00D16600"/>
    <w:rsid w:val="00D7380A"/>
    <w:rsid w:val="00DA40DA"/>
    <w:rsid w:val="00DB522B"/>
    <w:rsid w:val="00DE085A"/>
    <w:rsid w:val="00DE6A55"/>
    <w:rsid w:val="00E11A59"/>
    <w:rsid w:val="00E15344"/>
    <w:rsid w:val="00E155CA"/>
    <w:rsid w:val="00E3537C"/>
    <w:rsid w:val="00E61690"/>
    <w:rsid w:val="00E90C5F"/>
    <w:rsid w:val="00ED247C"/>
    <w:rsid w:val="00EF3FFD"/>
    <w:rsid w:val="00F35029"/>
    <w:rsid w:val="00F555F9"/>
    <w:rsid w:val="00F94F13"/>
    <w:rsid w:val="00FD7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B40A8"/>
  <w15:chartTrackingRefBased/>
  <w15:docId w15:val="{2250A16F-A040-4425-AF6E-68E4F3EB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Footer">
    <w:name w:val="footer"/>
    <w:basedOn w:val="Normal12a12b"/>
    <w:pPr>
      <w:tabs>
        <w:tab w:val="center" w:pos="4535"/>
        <w:tab w:val="right" w:pos="9071"/>
      </w:tabs>
    </w:pPr>
    <w:rPr>
      <w:sz w:val="22"/>
    </w:rPr>
  </w:style>
  <w:style w:type="paragraph" w:customStyle="1" w:styleId="Normal12a12b">
    <w:name w:val="Normal12a12b"/>
    <w:basedOn w:val="Normal"/>
    <w:pPr>
      <w:spacing w:before="240" w:after="240"/>
    </w:pPr>
  </w:style>
  <w:style w:type="paragraph" w:customStyle="1" w:styleId="Footer2">
    <w:name w:val="Footer2"/>
    <w:basedOn w:val="Normal"/>
    <w:pPr>
      <w:widowControl/>
      <w:tabs>
        <w:tab w:val="right" w:pos="9921"/>
      </w:tabs>
      <w:spacing w:after="240"/>
      <w:ind w:left="-850" w:right="-850"/>
    </w:pPr>
    <w:rPr>
      <w:rFonts w:ascii="Arial" w:hAnsi="Arial" w:cs="Arial"/>
      <w:b/>
      <w:sz w:val="48"/>
    </w:rPr>
  </w:style>
  <w:style w:type="paragraph" w:customStyle="1" w:styleId="Normal12">
    <w:name w:val="Normal12"/>
    <w:basedOn w:val="Normal"/>
    <w:qFormat/>
    <w:pPr>
      <w:spacing w:after="240"/>
    </w:pPr>
  </w:style>
  <w:style w:type="paragraph" w:styleId="TOC1">
    <w:name w:val="toc 1"/>
    <w:basedOn w:val="Normal12"/>
    <w:next w:val="Normal12"/>
    <w:autoRedefine/>
    <w:uiPriority w:val="39"/>
  </w:style>
  <w:style w:type="paragraph" w:styleId="TOCHeading">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PageHeading">
    <w:name w:val="PageHeading"/>
    <w:basedOn w:val="Normal12a12b"/>
    <w:pPr>
      <w:keepNext/>
      <w:jc w:val="center"/>
    </w:pPr>
    <w:rPr>
      <w:rFonts w:ascii="Arial" w:hAnsi="Arial"/>
      <w:b/>
    </w:rPr>
  </w:style>
  <w:style w:type="paragraph" w:customStyle="1" w:styleId="NormalBold">
    <w:name w:val="NormalBold"/>
    <w:basedOn w:val="Normal"/>
    <w:rPr>
      <w:b/>
    </w:rPr>
  </w:style>
  <w:style w:type="paragraph" w:customStyle="1" w:styleId="Normal12Bold">
    <w:name w:val="Normal12Bold"/>
    <w:basedOn w:val="Normal12"/>
    <w:rPr>
      <w:b/>
    </w:rPr>
  </w:style>
  <w:style w:type="paragraph" w:customStyle="1" w:styleId="Normal12Hanging">
    <w:name w:val="Normal12Hanging"/>
    <w:basedOn w:val="Normal12"/>
    <w:link w:val="Normal12HangingChar"/>
    <w:pPr>
      <w:ind w:left="567" w:hanging="567"/>
    </w:pPr>
  </w:style>
  <w:style w:type="paragraph" w:customStyle="1" w:styleId="EPName">
    <w:name w:val="EPName"/>
    <w:basedOn w:val="Normal"/>
    <w:rsid w:val="002544DF"/>
    <w:pPr>
      <w:spacing w:before="80" w:after="80"/>
    </w:pPr>
    <w:rPr>
      <w:rFonts w:ascii="Arial Narrow" w:hAnsi="Arial Narrow" w:cs="Arial"/>
      <w:b/>
      <w:color w:val="000000"/>
      <w:sz w:val="32"/>
      <w:szCs w:val="22"/>
      <w:lang w:val="fr-FR"/>
    </w:rPr>
  </w:style>
  <w:style w:type="paragraph" w:customStyle="1" w:styleId="Normal24">
    <w:name w:val="Normal24"/>
    <w:basedOn w:val="Normal"/>
    <w:pPr>
      <w:spacing w:after="480"/>
    </w:p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ind w:left="1418"/>
    </w:p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rsid w:val="003E6413"/>
    <w:pPr>
      <w:tabs>
        <w:tab w:val="left" w:pos="567"/>
      </w:tabs>
    </w:pPr>
  </w:style>
  <w:style w:type="paragraph" w:customStyle="1" w:styleId="RefProc">
    <w:name w:val="RefProc"/>
    <w:basedOn w:val="Normal"/>
    <w:rsid w:val="00100069"/>
    <w:pPr>
      <w:spacing w:before="240" w:after="240"/>
      <w:jc w:val="right"/>
    </w:pPr>
    <w:rPr>
      <w:rFonts w:ascii="Arial" w:hAnsi="Arial"/>
      <w:b/>
      <w:caps/>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spacing w:after="1200"/>
    </w:pPr>
  </w:style>
  <w:style w:type="paragraph" w:styleId="Header">
    <w:name w:val="header"/>
    <w:basedOn w:val="Normal"/>
    <w:pPr>
      <w:tabs>
        <w:tab w:val="center" w:pos="4153"/>
        <w:tab w:val="right" w:pos="8306"/>
      </w:tabs>
    </w:pPr>
  </w:style>
  <w:style w:type="table" w:styleId="TableGrid">
    <w:name w:val="Table Grid"/>
    <w:basedOn w:val="TableNormal"/>
    <w:rsid w:val="00E35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mittee">
    <w:name w:val="ZCommittee"/>
    <w:basedOn w:val="Normal"/>
    <w:next w:val="Normal"/>
    <w:rsid w:val="00E3537C"/>
    <w:pPr>
      <w:jc w:val="center"/>
    </w:pPr>
    <w:rPr>
      <w:rFonts w:ascii="Arial" w:hAnsi="Arial" w:cs="Arial"/>
      <w:i/>
      <w:sz w:val="22"/>
      <w:szCs w:val="22"/>
      <w:lang w:val="fr-FR"/>
    </w:rPr>
  </w:style>
  <w:style w:type="paragraph" w:customStyle="1" w:styleId="LineTop">
    <w:name w:val="LineTop"/>
    <w:basedOn w:val="Normal"/>
    <w:next w:val="ZCommittee"/>
    <w:rsid w:val="00E3537C"/>
    <w:pPr>
      <w:pBdr>
        <w:top w:val="single" w:sz="4" w:space="1" w:color="auto"/>
      </w:pBdr>
      <w:jc w:val="center"/>
    </w:pPr>
    <w:rPr>
      <w:rFonts w:ascii="Arial" w:hAnsi="Arial"/>
      <w:sz w:val="16"/>
      <w:szCs w:val="16"/>
      <w:lang w:val="fr-FR"/>
    </w:rPr>
  </w:style>
  <w:style w:type="paragraph" w:customStyle="1" w:styleId="LineBottom">
    <w:name w:val="LineBottom"/>
    <w:basedOn w:val="Normal"/>
    <w:next w:val="Normal"/>
    <w:rsid w:val="00E3537C"/>
    <w:pPr>
      <w:pBdr>
        <w:bottom w:val="single" w:sz="4" w:space="1" w:color="auto"/>
      </w:pBdr>
      <w:spacing w:after="840"/>
      <w:jc w:val="center"/>
    </w:pPr>
    <w:rPr>
      <w:rFonts w:ascii="Arial" w:hAnsi="Arial"/>
      <w:sz w:val="16"/>
      <w:szCs w:val="16"/>
    </w:rPr>
  </w:style>
  <w:style w:type="paragraph" w:customStyle="1" w:styleId="EPTerm">
    <w:name w:val="EPTerm"/>
    <w:basedOn w:val="Normal"/>
    <w:next w:val="Normal"/>
    <w:rsid w:val="002544DF"/>
    <w:pPr>
      <w:spacing w:after="80"/>
    </w:pPr>
    <w:rPr>
      <w:rFonts w:ascii="Arial" w:hAnsi="Arial" w:cs="Arial"/>
      <w:sz w:val="20"/>
      <w:szCs w:val="22"/>
      <w:lang w:val="fr-FR"/>
    </w:rPr>
  </w:style>
  <w:style w:type="paragraph" w:customStyle="1" w:styleId="EPLogo">
    <w:name w:val="EPLogo"/>
    <w:basedOn w:val="Normal"/>
    <w:qFormat/>
    <w:rsid w:val="002544DF"/>
    <w:pPr>
      <w:jc w:val="right"/>
    </w:pPr>
  </w:style>
  <w:style w:type="paragraph" w:styleId="FootnoteText">
    <w:name w:val="footnote text"/>
    <w:basedOn w:val="Normal"/>
    <w:link w:val="FootnoteTextChar"/>
    <w:unhideWhenUsed/>
    <w:rsid w:val="00A24B81"/>
    <w:pPr>
      <w:widowControl/>
      <w:snapToGrid w:val="0"/>
    </w:pPr>
    <w:rPr>
      <w:sz w:val="20"/>
    </w:rPr>
  </w:style>
  <w:style w:type="character" w:customStyle="1" w:styleId="FootnoteTextChar">
    <w:name w:val="Footnote Text Char"/>
    <w:basedOn w:val="DefaultParagraphFont"/>
    <w:link w:val="FootnoteText"/>
    <w:rsid w:val="00A24B81"/>
  </w:style>
  <w:style w:type="character" w:styleId="FootnoteReference">
    <w:name w:val="footnote reference"/>
    <w:unhideWhenUsed/>
    <w:rsid w:val="00A24B81"/>
    <w:rPr>
      <w:vertAlign w:val="superscript"/>
    </w:rPr>
  </w:style>
  <w:style w:type="paragraph" w:styleId="BalloonText">
    <w:name w:val="Balloon Text"/>
    <w:basedOn w:val="Normal"/>
    <w:link w:val="BalloonTextChar"/>
    <w:rsid w:val="006F4DF5"/>
    <w:rPr>
      <w:rFonts w:ascii="Segoe UI" w:hAnsi="Segoe UI" w:cs="Segoe UI"/>
      <w:sz w:val="18"/>
      <w:szCs w:val="18"/>
    </w:rPr>
  </w:style>
  <w:style w:type="character" w:customStyle="1" w:styleId="BalloonTextChar">
    <w:name w:val="Balloon Text Char"/>
    <w:basedOn w:val="DefaultParagraphFont"/>
    <w:link w:val="BalloonText"/>
    <w:rsid w:val="006F4DF5"/>
    <w:rPr>
      <w:rFonts w:ascii="Segoe UI" w:hAnsi="Segoe UI" w:cs="Segoe UI"/>
      <w:sz w:val="18"/>
      <w:szCs w:val="18"/>
    </w:rPr>
  </w:style>
  <w:style w:type="character" w:styleId="CommentReference">
    <w:name w:val="annotation reference"/>
    <w:basedOn w:val="DefaultParagraphFont"/>
    <w:rsid w:val="007C686B"/>
    <w:rPr>
      <w:sz w:val="16"/>
      <w:szCs w:val="16"/>
    </w:rPr>
  </w:style>
  <w:style w:type="paragraph" w:styleId="CommentText">
    <w:name w:val="annotation text"/>
    <w:basedOn w:val="Normal"/>
    <w:link w:val="CommentTextChar"/>
    <w:rsid w:val="007C686B"/>
    <w:rPr>
      <w:sz w:val="20"/>
    </w:rPr>
  </w:style>
  <w:style w:type="character" w:customStyle="1" w:styleId="CommentTextChar">
    <w:name w:val="Comment Text Char"/>
    <w:basedOn w:val="DefaultParagraphFont"/>
    <w:link w:val="CommentText"/>
    <w:rsid w:val="007C686B"/>
  </w:style>
  <w:style w:type="paragraph" w:styleId="CommentSubject">
    <w:name w:val="annotation subject"/>
    <w:basedOn w:val="CommentText"/>
    <w:next w:val="CommentText"/>
    <w:link w:val="CommentSubjectChar"/>
    <w:rsid w:val="007C686B"/>
    <w:rPr>
      <w:b/>
      <w:bCs/>
    </w:rPr>
  </w:style>
  <w:style w:type="character" w:customStyle="1" w:styleId="CommentSubjectChar">
    <w:name w:val="Comment Subject Char"/>
    <w:basedOn w:val="CommentTextChar"/>
    <w:link w:val="CommentSubject"/>
    <w:rsid w:val="007C686B"/>
    <w:rPr>
      <w:b/>
      <w:bCs/>
    </w:rPr>
  </w:style>
  <w:style w:type="character" w:customStyle="1" w:styleId="Normal12HangingChar">
    <w:name w:val="Normal12Hanging Char"/>
    <w:basedOn w:val="DefaultParagraphFont"/>
    <w:link w:val="Normal12Hanging"/>
    <w:rsid w:val="008660D6"/>
    <w:rPr>
      <w:sz w:val="24"/>
    </w:rPr>
  </w:style>
  <w:style w:type="character" w:customStyle="1" w:styleId="SupBoldItalic">
    <w:name w:val="SupBoldItalic"/>
    <w:rsid w:val="00B3050F"/>
    <w:rPr>
      <w:b/>
      <w:i/>
      <w:color w:val="000000"/>
      <w:vertAlign w:val="superscript"/>
    </w:rPr>
  </w:style>
  <w:style w:type="paragraph" w:customStyle="1" w:styleId="Hanging12">
    <w:name w:val="Hanging12"/>
    <w:basedOn w:val="Normal12"/>
    <w:rsid w:val="006B17A9"/>
    <w:pPr>
      <w:tabs>
        <w:tab w:val="left" w:pos="357"/>
      </w:tabs>
      <w:ind w:left="357" w:hanging="357"/>
    </w:pPr>
  </w:style>
  <w:style w:type="paragraph" w:customStyle="1" w:styleId="PageHeadingNotTOC">
    <w:name w:val="PageHeadingNotTOC"/>
    <w:basedOn w:val="Normal12a12b"/>
    <w:rsid w:val="00E90C5F"/>
    <w:pPr>
      <w:keepNext/>
      <w:jc w:val="center"/>
    </w:pPr>
    <w:rPr>
      <w:rFonts w:ascii="Arial" w:hAnsi="Arial"/>
      <w:b/>
    </w:rPr>
  </w:style>
  <w:style w:type="paragraph" w:customStyle="1" w:styleId="NormalTabs">
    <w:name w:val="NormalTabs"/>
    <w:basedOn w:val="Normal"/>
    <w:qFormat/>
    <w:rsid w:val="00E90C5F"/>
    <w:pPr>
      <w:tabs>
        <w:tab w:val="center" w:pos="284"/>
        <w:tab w:val="left" w:pos="426"/>
      </w:tabs>
    </w:pPr>
    <w:rPr>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1094">
      <w:bodyDiv w:val="1"/>
      <w:marLeft w:val="0"/>
      <w:marRight w:val="0"/>
      <w:marTop w:val="0"/>
      <w:marBottom w:val="0"/>
      <w:divBdr>
        <w:top w:val="none" w:sz="0" w:space="0" w:color="auto"/>
        <w:left w:val="none" w:sz="0" w:space="0" w:color="auto"/>
        <w:bottom w:val="none" w:sz="0" w:space="0" w:color="auto"/>
        <w:right w:val="none" w:sz="0" w:space="0" w:color="auto"/>
      </w:divBdr>
    </w:div>
    <w:div w:id="143200596">
      <w:bodyDiv w:val="1"/>
      <w:marLeft w:val="0"/>
      <w:marRight w:val="0"/>
      <w:marTop w:val="0"/>
      <w:marBottom w:val="0"/>
      <w:divBdr>
        <w:top w:val="none" w:sz="0" w:space="0" w:color="auto"/>
        <w:left w:val="none" w:sz="0" w:space="0" w:color="auto"/>
        <w:bottom w:val="none" w:sz="0" w:space="0" w:color="auto"/>
        <w:right w:val="none" w:sz="0" w:space="0" w:color="auto"/>
      </w:divBdr>
    </w:div>
    <w:div w:id="216475736">
      <w:bodyDiv w:val="1"/>
      <w:marLeft w:val="0"/>
      <w:marRight w:val="0"/>
      <w:marTop w:val="0"/>
      <w:marBottom w:val="0"/>
      <w:divBdr>
        <w:top w:val="none" w:sz="0" w:space="0" w:color="auto"/>
        <w:left w:val="none" w:sz="0" w:space="0" w:color="auto"/>
        <w:bottom w:val="none" w:sz="0" w:space="0" w:color="auto"/>
        <w:right w:val="none" w:sz="0" w:space="0" w:color="auto"/>
      </w:divBdr>
    </w:div>
    <w:div w:id="265965781">
      <w:bodyDiv w:val="1"/>
      <w:marLeft w:val="0"/>
      <w:marRight w:val="0"/>
      <w:marTop w:val="0"/>
      <w:marBottom w:val="0"/>
      <w:divBdr>
        <w:top w:val="none" w:sz="0" w:space="0" w:color="auto"/>
        <w:left w:val="none" w:sz="0" w:space="0" w:color="auto"/>
        <w:bottom w:val="none" w:sz="0" w:space="0" w:color="auto"/>
        <w:right w:val="none" w:sz="0" w:space="0" w:color="auto"/>
      </w:divBdr>
    </w:div>
    <w:div w:id="808861559">
      <w:bodyDiv w:val="1"/>
      <w:marLeft w:val="0"/>
      <w:marRight w:val="0"/>
      <w:marTop w:val="0"/>
      <w:marBottom w:val="0"/>
      <w:divBdr>
        <w:top w:val="none" w:sz="0" w:space="0" w:color="auto"/>
        <w:left w:val="none" w:sz="0" w:space="0" w:color="auto"/>
        <w:bottom w:val="none" w:sz="0" w:space="0" w:color="auto"/>
        <w:right w:val="none" w:sz="0" w:space="0" w:color="auto"/>
      </w:divBdr>
    </w:div>
    <w:div w:id="894121123">
      <w:bodyDiv w:val="1"/>
      <w:marLeft w:val="0"/>
      <w:marRight w:val="0"/>
      <w:marTop w:val="0"/>
      <w:marBottom w:val="0"/>
      <w:divBdr>
        <w:top w:val="none" w:sz="0" w:space="0" w:color="auto"/>
        <w:left w:val="none" w:sz="0" w:space="0" w:color="auto"/>
        <w:bottom w:val="none" w:sz="0" w:space="0" w:color="auto"/>
        <w:right w:val="none" w:sz="0" w:space="0" w:color="auto"/>
      </w:divBdr>
    </w:div>
    <w:div w:id="1456944967">
      <w:bodyDiv w:val="1"/>
      <w:marLeft w:val="0"/>
      <w:marRight w:val="0"/>
      <w:marTop w:val="0"/>
      <w:marBottom w:val="0"/>
      <w:divBdr>
        <w:top w:val="none" w:sz="0" w:space="0" w:color="auto"/>
        <w:left w:val="none" w:sz="0" w:space="0" w:color="auto"/>
        <w:bottom w:val="none" w:sz="0" w:space="0" w:color="auto"/>
        <w:right w:val="none" w:sz="0" w:space="0" w:color="auto"/>
      </w:divBdr>
    </w:div>
    <w:div w:id="1516531472">
      <w:bodyDiv w:val="1"/>
      <w:marLeft w:val="0"/>
      <w:marRight w:val="0"/>
      <w:marTop w:val="0"/>
      <w:marBottom w:val="0"/>
      <w:divBdr>
        <w:top w:val="none" w:sz="0" w:space="0" w:color="auto"/>
        <w:left w:val="none" w:sz="0" w:space="0" w:color="auto"/>
        <w:bottom w:val="none" w:sz="0" w:space="0" w:color="auto"/>
        <w:right w:val="none" w:sz="0" w:space="0" w:color="auto"/>
      </w:divBdr>
    </w:div>
    <w:div w:id="1828323504">
      <w:bodyDiv w:val="1"/>
      <w:marLeft w:val="0"/>
      <w:marRight w:val="0"/>
      <w:marTop w:val="0"/>
      <w:marBottom w:val="0"/>
      <w:divBdr>
        <w:top w:val="none" w:sz="0" w:space="0" w:color="auto"/>
        <w:left w:val="none" w:sz="0" w:space="0" w:color="auto"/>
        <w:bottom w:val="none" w:sz="0" w:space="0" w:color="auto"/>
        <w:right w:val="none" w:sz="0" w:space="0" w:color="auto"/>
      </w:divBdr>
    </w:div>
    <w:div w:id="21108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C3383-41AD-46C8-9118-544C04D5B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4856</Words>
  <Characters>26708</Characters>
  <Application>Microsoft Office Word</Application>
  <DocSecurity>4</DocSecurity>
  <Lines>222</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PR_INI</vt:lpstr>
      <vt:lpstr>PR_INI</vt:lpstr>
    </vt:vector>
  </TitlesOfParts>
  <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PR_INI</dc:title>
  <dc:subject/>
  <dc:creator>MALEV Julia</dc:creator>
  <cp:keywords/>
  <dc:description/>
  <cp:lastModifiedBy>Maartje Bongenaar | Vakcentrum</cp:lastModifiedBy>
  <cp:revision>2</cp:revision>
  <cp:lastPrinted>2017-05-15T13:49:00Z</cp:lastPrinted>
  <dcterms:created xsi:type="dcterms:W3CDTF">2024-08-27T08:06:00Z</dcterms:created>
  <dcterms:modified xsi:type="dcterms:W3CDTF">2024-08-27T08:06:00Z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8.10.0 Build [20161201]</vt:lpwstr>
  </property>
  <property fmtid="{D5CDD505-2E9C-101B-9397-08002B2CF9AE}" pid="4" name="LastEdited with">
    <vt:lpwstr>9.0.0 Build [20170325]</vt:lpwstr>
  </property>
  <property fmtid="{D5CDD505-2E9C-101B-9397-08002B2CF9AE}" pid="5" name="&lt;FdR&gt;">
    <vt:lpwstr>1126198</vt:lpwstr>
  </property>
  <property fmtid="{D5CDD505-2E9C-101B-9397-08002B2CF9AE}" pid="6" name="&lt;Type&gt;">
    <vt:lpwstr>RR</vt:lpwstr>
  </property>
  <property fmtid="{D5CDD505-2E9C-101B-9397-08002B2CF9AE}" pid="7" name="&lt;ModelCod&gt;">
    <vt:lpwstr>\\eiciBRUpr1\pdocep$\DocEP\DOCS\General\PR\PR_NonLeg\INI\PR_INI.dot(17/02/2016 10:44:45)</vt:lpwstr>
  </property>
  <property fmtid="{D5CDD505-2E9C-101B-9397-08002B2CF9AE}" pid="8" name="&lt;ModelTra&gt;">
    <vt:lpwstr>\\eiciBRUpr1\pdocep$\DocEP\TRANSFIL\EN\PR_INI.EN(26/05/2015 06:20:45)</vt:lpwstr>
  </property>
  <property fmtid="{D5CDD505-2E9C-101B-9397-08002B2CF9AE}" pid="9" name="&lt;Model&gt;">
    <vt:lpwstr>PR_INI</vt:lpwstr>
  </property>
  <property fmtid="{D5CDD505-2E9C-101B-9397-08002B2CF9AE}" pid="10" name="FooterPath">
    <vt:lpwstr>RR\597399EN.docx</vt:lpwstr>
  </property>
  <property fmtid="{D5CDD505-2E9C-101B-9397-08002B2CF9AE}" pid="11" name="PE Number">
    <vt:lpwstr>597.399</vt:lpwstr>
  </property>
  <property fmtid="{D5CDD505-2E9C-101B-9397-08002B2CF9AE}" pid="12" name="SubscribeElise">
    <vt:lpwstr/>
  </property>
  <property fmtid="{D5CDD505-2E9C-101B-9397-08002B2CF9AE}" pid="13" name="SendToEpades">
    <vt:lpwstr/>
  </property>
</Properties>
</file>